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D6D7F" w:rsidRDefault="00D97CC8">
      <w:pPr>
        <w:rPr>
          <w:noProof/>
          <w:lang w:eastAsia="en-AU"/>
        </w:rPr>
      </w:pPr>
      <w:r>
        <w:rPr>
          <w:noProof/>
          <w:lang w:eastAsia="en-AU"/>
        </w:rPr>
        <mc:AlternateContent>
          <mc:Choice Requires="wps">
            <w:drawing>
              <wp:anchor distT="0" distB="0" distL="114300" distR="114300" simplePos="0" relativeHeight="251668480" behindDoc="0" locked="0" layoutInCell="1" allowOverlap="1">
                <wp:simplePos x="0" y="0"/>
                <wp:positionH relativeFrom="column">
                  <wp:posOffset>4457065</wp:posOffset>
                </wp:positionH>
                <wp:positionV relativeFrom="paragraph">
                  <wp:posOffset>-321945</wp:posOffset>
                </wp:positionV>
                <wp:extent cx="2486660" cy="1114425"/>
                <wp:effectExtent l="0" t="1905" r="0"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1114425"/>
                        </a:xfrm>
                        <a:prstGeom prst="rect">
                          <a:avLst/>
                        </a:prstGeom>
                        <a:solidFill>
                          <a:srgbClr val="1351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0405" w:rsidRPr="00985B40" w:rsidRDefault="003D0405" w:rsidP="00C53411">
                            <w:pPr>
                              <w:pStyle w:val="NoSpacing"/>
                              <w:jc w:val="center"/>
                              <w:rPr>
                                <w:sz w:val="20"/>
                              </w:rPr>
                            </w:pPr>
                            <w:r w:rsidRPr="00985B40">
                              <w:rPr>
                                <w:noProof/>
                                <w:sz w:val="20"/>
                                <w:lang w:eastAsia="en-AU"/>
                              </w:rPr>
                              <w:drawing>
                                <wp:inline distT="0" distB="0" distL="0" distR="0">
                                  <wp:extent cx="1484707" cy="572756"/>
                                  <wp:effectExtent l="19050" t="0" r="1193" b="0"/>
                                  <wp:docPr id="4" name="Picture 4"/>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noChangeArrowheads="1"/>
                                          </pic:cNvPicPr>
                                        </pic:nvPicPr>
                                        <pic:blipFill>
                                          <a:blip r:embed="rId8" cstate="print"/>
                                          <a:srcRect/>
                                          <a:stretch>
                                            <a:fillRect/>
                                          </a:stretch>
                                        </pic:blipFill>
                                        <pic:spPr bwMode="auto">
                                          <a:xfrm>
                                            <a:off x="0" y="0"/>
                                            <a:ext cx="1487305" cy="57375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50.95pt;margin-top:-25.35pt;width:195.8pt;height:8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" fillcolor="#135195" stroked="f">
                <v:textbox>
                  <w:txbxContent>
                    <w:p w:rsidR="003D0405" w:rsidRPr="00985B40" w:rsidRDefault="003D0405" w:rsidP="00C53411">
                      <w:pPr>
                        <w:pStyle w:val="NoSpacing"/>
                        <w:jc w:val="center"/>
                        <w:rPr>
                          <w:sz w:val="20"/>
                        </w:rPr>
                      </w:pPr>
                      <w:r w:rsidRPr="00985B40">
                        <w:rPr>
                          <w:noProof/>
                          <w:sz w:val="20"/>
                          <w:lang w:eastAsia="en-AU"/>
                        </w:rPr>
                        <w:drawing>
                          <wp:inline distT="0" distB="0" distL="0" distR="0">
                            <wp:extent cx="1484707" cy="572756"/>
                            <wp:effectExtent l="19050" t="0" r="1193" b="0"/>
                            <wp:docPr id="4" name="Picture 4"/>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noChangeArrowheads="1"/>
                                    </pic:cNvPicPr>
                                  </pic:nvPicPr>
                                  <pic:blipFill>
                                    <a:blip r:embed="rId9" cstate="print"/>
                                    <a:srcRect/>
                                    <a:stretch>
                                      <a:fillRect/>
                                    </a:stretch>
                                  </pic:blipFill>
                                  <pic:spPr bwMode="auto">
                                    <a:xfrm>
                                      <a:off x="0" y="0"/>
                                      <a:ext cx="1487305" cy="573758"/>
                                    </a:xfrm>
                                    <a:prstGeom prst="rect">
                                      <a:avLst/>
                                    </a:prstGeom>
                                    <a:noFill/>
                                    <a:ln w="9525">
                                      <a:noFill/>
                                      <a:miter lim="800000"/>
                                      <a:headEnd/>
                                      <a:tailEnd/>
                                    </a:ln>
                                  </pic:spPr>
                                </pic:pic>
                              </a:graphicData>
                            </a:graphic>
                          </wp:inline>
                        </w:drawing>
                      </w:r>
                    </w:p>
                  </w:txbxContent>
                </v:textbox>
              </v:shape>
            </w:pict>
          </mc:Fallback>
        </mc:AlternateContent>
      </w:r>
      <w:r>
        <w:rPr>
          <w:noProof/>
          <w:lang w:eastAsia="en-AU"/>
        </w:rPr>
        <mc:AlternateContent>
          <mc:Choice Requires="wps">
            <w:drawing>
              <wp:anchor distT="0" distB="0" distL="114300" distR="114300" simplePos="0" relativeHeight="251662336" behindDoc="0" locked="0" layoutInCell="1" allowOverlap="1">
                <wp:simplePos x="0" y="0"/>
                <wp:positionH relativeFrom="column">
                  <wp:posOffset>-52705</wp:posOffset>
                </wp:positionH>
                <wp:positionV relativeFrom="paragraph">
                  <wp:posOffset>-104140</wp:posOffset>
                </wp:positionV>
                <wp:extent cx="4418965" cy="785495"/>
                <wp:effectExtent l="13970" t="10160" r="5715" b="13970"/>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8965" cy="785495"/>
                        </a:xfrm>
                        <a:prstGeom prst="rect">
                          <a:avLst/>
                        </a:prstGeom>
                        <a:solidFill>
                          <a:srgbClr val="FFFFFF"/>
                        </a:solidFill>
                        <a:ln w="9525">
                          <a:solidFill>
                            <a:srgbClr val="000000"/>
                          </a:solidFill>
                          <a:miter lim="800000"/>
                          <a:headEnd/>
                          <a:tailEnd/>
                        </a:ln>
                      </wps:spPr>
                      <wps:txbx>
                        <w:txbxContent>
                          <w:p w:rsidR="003D0405" w:rsidRDefault="003D0405">
                            <w:pPr>
                              <w:rPr>
                                <w:sz w:val="44"/>
                              </w:rPr>
                            </w:pPr>
                            <w:r>
                              <w:rPr>
                                <w:sz w:val="44"/>
                              </w:rPr>
                              <w:t>Maroondah City Council</w:t>
                            </w:r>
                          </w:p>
                          <w:p w:rsidR="003D0405" w:rsidRPr="000D6D7F" w:rsidRDefault="003D0405">
                            <w:pPr>
                              <w:rPr>
                                <w:sz w:val="44"/>
                              </w:rPr>
                            </w:pPr>
                            <w:r>
                              <w:rPr>
                                <w:sz w:val="44"/>
                              </w:rPr>
                              <w:t>Draft Rating Strategy 2018-2022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4.15pt;margin-top:-8.2pt;width:347.95pt;height:61.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">
                <v:textbox>
                  <w:txbxContent>
                    <w:p w:rsidR="003D0405" w:rsidRDefault="003D0405">
                      <w:pPr>
                        <w:rPr>
                          <w:sz w:val="44"/>
                        </w:rPr>
                      </w:pPr>
                      <w:r>
                        <w:rPr>
                          <w:sz w:val="44"/>
                        </w:rPr>
                        <w:t>Maroondah City Council</w:t>
                      </w:r>
                    </w:p>
                    <w:p w:rsidR="003D0405" w:rsidRPr="000D6D7F" w:rsidRDefault="003D0405">
                      <w:pPr>
                        <w:rPr>
                          <w:sz w:val="44"/>
                        </w:rPr>
                      </w:pPr>
                      <w:r>
                        <w:rPr>
                          <w:sz w:val="44"/>
                        </w:rPr>
                        <w:t>Draft Rating Strategy 2018-2022</w:t>
                      </w:r>
                    </w:p>
                  </w:txbxContent>
                </v:textbox>
              </v:shape>
            </w:pict>
          </mc:Fallback>
        </mc:AlternateContent>
      </w:r>
      <w:r>
        <w:rPr>
          <w:noProof/>
          <w:lang w:eastAsia="en-AU"/>
        </w:rPr>
        <mc:AlternateContent>
          <mc:Choice Requires="wps">
            <w:drawing>
              <wp:anchor distT="0" distB="0" distL="114300" distR="114300" simplePos="0" relativeHeight="251663360" behindDoc="0" locked="0" layoutInCell="1" allowOverlap="1">
                <wp:simplePos x="0" y="0"/>
                <wp:positionH relativeFrom="column">
                  <wp:posOffset>-47625</wp:posOffset>
                </wp:positionH>
                <wp:positionV relativeFrom="paragraph">
                  <wp:posOffset>853440</wp:posOffset>
                </wp:positionV>
                <wp:extent cx="4413885" cy="261620"/>
                <wp:effectExtent l="9525" t="11430" r="5715" b="1270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885" cy="261620"/>
                        </a:xfrm>
                        <a:prstGeom prst="rect">
                          <a:avLst/>
                        </a:prstGeom>
                        <a:solidFill>
                          <a:srgbClr val="FFFFFF"/>
                        </a:solidFill>
                        <a:ln w="9525">
                          <a:solidFill>
                            <a:srgbClr val="000000"/>
                          </a:solidFill>
                          <a:miter lim="800000"/>
                          <a:headEnd/>
                          <a:tailEnd/>
                        </a:ln>
                      </wps:spPr>
                      <wps:txbx>
                        <w:txbxContent>
                          <w:p w:rsidR="003D0405" w:rsidRPr="000D6D7F" w:rsidRDefault="003D0405" w:rsidP="000D6D7F">
                            <w:pPr>
                              <w:rPr>
                                <w:lang w:val="en-US"/>
                              </w:rPr>
                            </w:pPr>
                            <w:r>
                              <w:rPr>
                                <w:lang w:val="en-US"/>
                              </w:rPr>
                              <w:t>Working towards a well governed and empowered community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28" type="#_x0000_t202" style="position:absolute;margin-left:-3.75pt;margin-top:67.2pt;width:347.55pt;height:20.6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">
                <v:textbox style="mso-fit-shape-to-text:t">
                  <w:txbxContent>
                    <w:p w:rsidR="003D0405" w:rsidRPr="000D6D7F" w:rsidRDefault="003D0405" w:rsidP="000D6D7F">
                      <w:pPr>
                        <w:rPr>
                          <w:lang w:val="en-US"/>
                        </w:rPr>
                      </w:pPr>
                      <w:r>
                        <w:rPr>
                          <w:lang w:val="en-US"/>
                        </w:rPr>
                        <w:t>Working towards a well governed and empowered community</w:t>
                      </w:r>
                    </w:p>
                  </w:txbxContent>
                </v:textbox>
              </v:shape>
            </w:pict>
          </mc:Fallback>
        </mc:AlternateContent>
      </w:r>
      <w:r>
        <w:rPr>
          <w:noProof/>
          <w:lang w:eastAsia="en-AU"/>
        </w:rPr>
        <mc:AlternateContent>
          <mc:Choice Requires="wps">
            <w:drawing>
              <wp:anchor distT="0" distB="0" distL="114300" distR="114300" simplePos="0" relativeHeight="251660288" behindDoc="0" locked="0" layoutInCell="1" allowOverlap="1">
                <wp:simplePos x="0" y="0"/>
                <wp:positionH relativeFrom="column">
                  <wp:posOffset>-304165</wp:posOffset>
                </wp:positionH>
                <wp:positionV relativeFrom="paragraph">
                  <wp:posOffset>-323850</wp:posOffset>
                </wp:positionV>
                <wp:extent cx="7247890" cy="10391775"/>
                <wp:effectExtent l="10160" t="9525"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7890" cy="10391775"/>
                        </a:xfrm>
                        <a:prstGeom prst="rect">
                          <a:avLst/>
                        </a:prstGeom>
                        <a:solidFill>
                          <a:srgbClr val="FFFFFF"/>
                        </a:solidFill>
                        <a:ln w="9525">
                          <a:solidFill>
                            <a:srgbClr val="000000"/>
                          </a:solidFill>
                          <a:miter lim="800000"/>
                          <a:headEnd/>
                          <a:tailEnd/>
                        </a:ln>
                      </wps:spPr>
                      <wps:txbx>
                        <w:txbxContent>
                          <w:p w:rsidR="003D0405" w:rsidRDefault="003D0405">
                            <w:r>
                              <w:rPr>
                                <w:noProof/>
                                <w:lang w:eastAsia="en-AU"/>
                              </w:rPr>
                              <w:drawing>
                                <wp:inline distT="0" distB="0" distL="0" distR="0">
                                  <wp:extent cx="7193477" cy="10267950"/>
                                  <wp:effectExtent l="19050" t="0" r="7423"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2406"/>
                                          <a:stretch>
                                            <a:fillRect/>
                                          </a:stretch>
                                        </pic:blipFill>
                                        <pic:spPr bwMode="auto">
                                          <a:xfrm>
                                            <a:off x="0" y="0"/>
                                            <a:ext cx="7193477" cy="10267950"/>
                                          </a:xfrm>
                                          <a:prstGeom prst="rect">
                                            <a:avLst/>
                                          </a:prstGeom>
                                          <a:noFill/>
                                          <a:ln w="9525">
                                            <a:noFill/>
                                            <a:miter lim="800000"/>
                                            <a:headEnd/>
                                            <a:tailEnd/>
                                          </a:ln>
                                        </pic:spPr>
                                      </pic:pic>
                                    </a:graphicData>
                                  </a:graphic>
                                </wp:inline>
                              </w:drawing>
                            </w:r>
                          </w:p>
                        </w:txbxContent>
                      </wps:txbx>
                      <wps:bodyPr rot="0" vert="horz" wrap="square" lIns="18000" tIns="18000" rIns="18000" bIns="1800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23.95pt;margin-top:-25.5pt;width:570.7pt;height:81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">
                <v:textbox inset=".5mm,.5mm,.5mm,.5mm">
                  <w:txbxContent>
                    <w:p w:rsidR="003D0405" w:rsidRDefault="003D0405">
                      <w:r>
                        <w:rPr>
                          <w:noProof/>
                          <w:lang w:eastAsia="en-AU"/>
                        </w:rPr>
                        <w:drawing>
                          <wp:inline distT="0" distB="0" distL="0" distR="0">
                            <wp:extent cx="7193477" cy="10267950"/>
                            <wp:effectExtent l="19050" t="0" r="7423"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l="2406"/>
                                    <a:stretch>
                                      <a:fillRect/>
                                    </a:stretch>
                                  </pic:blipFill>
                                  <pic:spPr bwMode="auto">
                                    <a:xfrm>
                                      <a:off x="0" y="0"/>
                                      <a:ext cx="7193477" cy="10267950"/>
                                    </a:xfrm>
                                    <a:prstGeom prst="rect">
                                      <a:avLst/>
                                    </a:prstGeom>
                                    <a:noFill/>
                                    <a:ln w="9525">
                                      <a:noFill/>
                                      <a:miter lim="800000"/>
                                      <a:headEnd/>
                                      <a:tailEnd/>
                                    </a:ln>
                                  </pic:spPr>
                                </pic:pic>
                              </a:graphicData>
                            </a:graphic>
                          </wp:inline>
                        </w:drawing>
                      </w:r>
                    </w:p>
                  </w:txbxContent>
                </v:textbox>
              </v:shape>
            </w:pict>
          </mc:Fallback>
        </mc:AlternateContent>
      </w:r>
      <w:r w:rsidR="000D6D7F">
        <w:rPr>
          <w:noProof/>
          <w:lang w:eastAsia="en-AU"/>
        </w:rPr>
        <w:br w:type="page"/>
      </w:r>
    </w:p>
    <w:p w:rsidR="00540ACA" w:rsidRDefault="00540ACA" w:rsidP="00540ACA"/>
    <w:sdt>
      <w:sdtPr>
        <w:rPr>
          <w:rFonts w:ascii="Arial" w:eastAsia="Calibri" w:hAnsi="Arial" w:cs="Times New Roman"/>
          <w:color w:val="auto"/>
          <w:sz w:val="22"/>
          <w:szCs w:val="22"/>
          <w:lang w:val="en-AU"/>
        </w:rPr>
        <w:id w:val="37478805"/>
        <w:docPartObj>
          <w:docPartGallery w:val="Table of Contents"/>
          <w:docPartUnique/>
        </w:docPartObj>
      </w:sdtPr>
      <w:sdtEndPr>
        <w:rPr>
          <w:b/>
          <w:bCs/>
          <w:noProof/>
        </w:rPr>
      </w:sdtEndPr>
      <w:sdtContent>
        <w:p w:rsidR="00511B3F" w:rsidRDefault="00511B3F" w:rsidP="00540ACA">
          <w:pPr>
            <w:pStyle w:val="TOCHeading"/>
          </w:pPr>
          <w:r>
            <w:t>Contents</w:t>
          </w:r>
        </w:p>
        <w:p w:rsidR="00BD5283" w:rsidRDefault="00511B3F">
          <w:pPr>
            <w:pStyle w:val="TOC1"/>
            <w:tabs>
              <w:tab w:val="left" w:pos="440"/>
              <w:tab w:val="right" w:leader="dot" w:pos="10456"/>
            </w:tabs>
            <w:rPr>
              <w:rFonts w:asciiTheme="minorHAnsi" w:eastAsiaTheme="minorEastAsia" w:hAnsiTheme="minorHAnsi" w:cstheme="minorBidi"/>
              <w:noProof/>
              <w:lang w:eastAsia="en-AU"/>
            </w:rPr>
          </w:pPr>
          <w:r>
            <w:fldChar w:fldCharType="begin"/>
          </w:r>
          <w:r>
            <w:instrText xml:space="preserve"> TOC \o "1-3" \h \z \u </w:instrText>
          </w:r>
          <w:r>
            <w:fldChar w:fldCharType="separate"/>
          </w:r>
          <w:hyperlink w:anchor="_Toc499624652" w:history="1">
            <w:r w:rsidR="00BD5283" w:rsidRPr="0019712D">
              <w:rPr>
                <w:rStyle w:val="Hyperlink"/>
                <w:noProof/>
              </w:rPr>
              <w:t>1.</w:t>
            </w:r>
            <w:r w:rsidR="00BD5283">
              <w:rPr>
                <w:rFonts w:asciiTheme="minorHAnsi" w:eastAsiaTheme="minorEastAsia" w:hAnsiTheme="minorHAnsi" w:cstheme="minorBidi"/>
                <w:noProof/>
                <w:lang w:eastAsia="en-AU"/>
              </w:rPr>
              <w:tab/>
            </w:r>
            <w:r w:rsidR="00BD5283" w:rsidRPr="0019712D">
              <w:rPr>
                <w:rStyle w:val="Hyperlink"/>
                <w:noProof/>
              </w:rPr>
              <w:t xml:space="preserve">What is a </w:t>
            </w:r>
            <w:r w:rsidR="00BD5283" w:rsidRPr="0019712D">
              <w:rPr>
                <w:rStyle w:val="Hyperlink"/>
                <w:i/>
                <w:noProof/>
              </w:rPr>
              <w:t>Rating Strategy</w:t>
            </w:r>
            <w:r w:rsidR="00BD5283" w:rsidRPr="0019712D">
              <w:rPr>
                <w:rStyle w:val="Hyperlink"/>
                <w:noProof/>
              </w:rPr>
              <w:t xml:space="preserve"> and why have one?</w:t>
            </w:r>
            <w:r w:rsidR="00BD5283">
              <w:rPr>
                <w:noProof/>
                <w:webHidden/>
              </w:rPr>
              <w:tab/>
            </w:r>
            <w:r w:rsidR="00BD5283">
              <w:rPr>
                <w:noProof/>
                <w:webHidden/>
              </w:rPr>
              <w:fldChar w:fldCharType="begin"/>
            </w:r>
            <w:r w:rsidR="00BD5283">
              <w:rPr>
                <w:noProof/>
                <w:webHidden/>
              </w:rPr>
              <w:instrText xml:space="preserve"> PAGEREF _Toc499624652 \h </w:instrText>
            </w:r>
            <w:r w:rsidR="00BD5283">
              <w:rPr>
                <w:noProof/>
                <w:webHidden/>
              </w:rPr>
            </w:r>
            <w:r w:rsidR="00BD5283">
              <w:rPr>
                <w:noProof/>
                <w:webHidden/>
              </w:rPr>
              <w:fldChar w:fldCharType="separate"/>
            </w:r>
            <w:r w:rsidR="00BD5283">
              <w:rPr>
                <w:noProof/>
                <w:webHidden/>
              </w:rPr>
              <w:t>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53" w:history="1">
            <w:r w:rsidR="00BD5283" w:rsidRPr="0019712D">
              <w:rPr>
                <w:rStyle w:val="Hyperlink"/>
                <w:noProof/>
              </w:rPr>
              <w:t>What is a rating strategy?</w:t>
            </w:r>
            <w:r w:rsidR="00BD5283">
              <w:rPr>
                <w:noProof/>
                <w:webHidden/>
              </w:rPr>
              <w:tab/>
            </w:r>
            <w:r w:rsidR="00BD5283">
              <w:rPr>
                <w:noProof/>
                <w:webHidden/>
              </w:rPr>
              <w:fldChar w:fldCharType="begin"/>
            </w:r>
            <w:r w:rsidR="00BD5283">
              <w:rPr>
                <w:noProof/>
                <w:webHidden/>
              </w:rPr>
              <w:instrText xml:space="preserve"> PAGEREF _Toc499624653 \h </w:instrText>
            </w:r>
            <w:r w:rsidR="00BD5283">
              <w:rPr>
                <w:noProof/>
                <w:webHidden/>
              </w:rPr>
            </w:r>
            <w:r w:rsidR="00BD5283">
              <w:rPr>
                <w:noProof/>
                <w:webHidden/>
              </w:rPr>
              <w:fldChar w:fldCharType="separate"/>
            </w:r>
            <w:r w:rsidR="00BD5283">
              <w:rPr>
                <w:noProof/>
                <w:webHidden/>
              </w:rPr>
              <w:t>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54" w:history="1">
            <w:r w:rsidR="00BD5283" w:rsidRPr="0019712D">
              <w:rPr>
                <w:rStyle w:val="Hyperlink"/>
                <w:noProof/>
              </w:rPr>
              <w:t>The importance of a rating strategy</w:t>
            </w:r>
            <w:r w:rsidR="00BD5283">
              <w:rPr>
                <w:noProof/>
                <w:webHidden/>
              </w:rPr>
              <w:tab/>
            </w:r>
            <w:r w:rsidR="00BD5283">
              <w:rPr>
                <w:noProof/>
                <w:webHidden/>
              </w:rPr>
              <w:fldChar w:fldCharType="begin"/>
            </w:r>
            <w:r w:rsidR="00BD5283">
              <w:rPr>
                <w:noProof/>
                <w:webHidden/>
              </w:rPr>
              <w:instrText xml:space="preserve"> PAGEREF _Toc499624654 \h </w:instrText>
            </w:r>
            <w:r w:rsidR="00BD5283">
              <w:rPr>
                <w:noProof/>
                <w:webHidden/>
              </w:rPr>
            </w:r>
            <w:r w:rsidR="00BD5283">
              <w:rPr>
                <w:noProof/>
                <w:webHidden/>
              </w:rPr>
              <w:fldChar w:fldCharType="separate"/>
            </w:r>
            <w:r w:rsidR="00BD5283">
              <w:rPr>
                <w:noProof/>
                <w:webHidden/>
              </w:rPr>
              <w:t>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55" w:history="1">
            <w:r w:rsidR="00BD5283" w:rsidRPr="0019712D">
              <w:rPr>
                <w:rStyle w:val="Hyperlink"/>
                <w:noProof/>
              </w:rPr>
              <w:t>Council’s Strategic Directions</w:t>
            </w:r>
            <w:r w:rsidR="00BD5283">
              <w:rPr>
                <w:noProof/>
                <w:webHidden/>
              </w:rPr>
              <w:tab/>
            </w:r>
            <w:r w:rsidR="00BD5283">
              <w:rPr>
                <w:noProof/>
                <w:webHidden/>
              </w:rPr>
              <w:fldChar w:fldCharType="begin"/>
            </w:r>
            <w:r w:rsidR="00BD5283">
              <w:rPr>
                <w:noProof/>
                <w:webHidden/>
              </w:rPr>
              <w:instrText xml:space="preserve"> PAGEREF _Toc499624655 \h </w:instrText>
            </w:r>
            <w:r w:rsidR="00BD5283">
              <w:rPr>
                <w:noProof/>
                <w:webHidden/>
              </w:rPr>
            </w:r>
            <w:r w:rsidR="00BD5283">
              <w:rPr>
                <w:noProof/>
                <w:webHidden/>
              </w:rPr>
              <w:fldChar w:fldCharType="separate"/>
            </w:r>
            <w:r w:rsidR="00BD5283">
              <w:rPr>
                <w:noProof/>
                <w:webHidden/>
              </w:rPr>
              <w:t>5</w:t>
            </w:r>
            <w:r w:rsidR="00BD5283">
              <w:rPr>
                <w:noProof/>
                <w:webHidden/>
              </w:rPr>
              <w:fldChar w:fldCharType="end"/>
            </w:r>
          </w:hyperlink>
        </w:p>
        <w:p w:rsidR="00BD5283" w:rsidRDefault="00A701D1">
          <w:pPr>
            <w:pStyle w:val="TOC3"/>
            <w:tabs>
              <w:tab w:val="right" w:leader="dot" w:pos="10456"/>
            </w:tabs>
            <w:rPr>
              <w:rFonts w:asciiTheme="minorHAnsi" w:eastAsiaTheme="minorEastAsia" w:hAnsiTheme="minorHAnsi" w:cstheme="minorBidi"/>
              <w:noProof/>
              <w:lang w:eastAsia="en-AU"/>
            </w:rPr>
          </w:pPr>
          <w:hyperlink w:anchor="_Toc499624656" w:history="1">
            <w:r w:rsidR="00BD5283" w:rsidRPr="0019712D">
              <w:rPr>
                <w:rStyle w:val="Hyperlink"/>
                <w:noProof/>
              </w:rPr>
              <w:t>Council Plan 2017-2021</w:t>
            </w:r>
            <w:r w:rsidR="00BD5283">
              <w:rPr>
                <w:noProof/>
                <w:webHidden/>
              </w:rPr>
              <w:tab/>
            </w:r>
            <w:r w:rsidR="00BD5283">
              <w:rPr>
                <w:noProof/>
                <w:webHidden/>
              </w:rPr>
              <w:fldChar w:fldCharType="begin"/>
            </w:r>
            <w:r w:rsidR="00BD5283">
              <w:rPr>
                <w:noProof/>
                <w:webHidden/>
              </w:rPr>
              <w:instrText xml:space="preserve"> PAGEREF _Toc499624656 \h </w:instrText>
            </w:r>
            <w:r w:rsidR="00BD5283">
              <w:rPr>
                <w:noProof/>
                <w:webHidden/>
              </w:rPr>
            </w:r>
            <w:r w:rsidR="00BD5283">
              <w:rPr>
                <w:noProof/>
                <w:webHidden/>
              </w:rPr>
              <w:fldChar w:fldCharType="separate"/>
            </w:r>
            <w:r w:rsidR="00BD5283">
              <w:rPr>
                <w:noProof/>
                <w:webHidden/>
              </w:rPr>
              <w:t>5</w:t>
            </w:r>
            <w:r w:rsidR="00BD5283">
              <w:rPr>
                <w:noProof/>
                <w:webHidden/>
              </w:rPr>
              <w:fldChar w:fldCharType="end"/>
            </w:r>
          </w:hyperlink>
        </w:p>
        <w:p w:rsidR="00BD5283" w:rsidRDefault="00A701D1">
          <w:pPr>
            <w:pStyle w:val="TOC3"/>
            <w:tabs>
              <w:tab w:val="right" w:leader="dot" w:pos="10456"/>
            </w:tabs>
            <w:rPr>
              <w:rFonts w:asciiTheme="minorHAnsi" w:eastAsiaTheme="minorEastAsia" w:hAnsiTheme="minorHAnsi" w:cstheme="minorBidi"/>
              <w:noProof/>
              <w:lang w:eastAsia="en-AU"/>
            </w:rPr>
          </w:pPr>
          <w:hyperlink w:anchor="_Toc499624657" w:history="1">
            <w:r w:rsidR="00BD5283" w:rsidRPr="0019712D">
              <w:rPr>
                <w:rStyle w:val="Hyperlink"/>
                <w:noProof/>
              </w:rPr>
              <w:t>Maroondah 2040: Our future together</w:t>
            </w:r>
            <w:r w:rsidR="00BD5283">
              <w:rPr>
                <w:noProof/>
                <w:webHidden/>
              </w:rPr>
              <w:tab/>
            </w:r>
            <w:r w:rsidR="00BD5283">
              <w:rPr>
                <w:noProof/>
                <w:webHidden/>
              </w:rPr>
              <w:fldChar w:fldCharType="begin"/>
            </w:r>
            <w:r w:rsidR="00BD5283">
              <w:rPr>
                <w:noProof/>
                <w:webHidden/>
              </w:rPr>
              <w:instrText xml:space="preserve"> PAGEREF _Toc499624657 \h </w:instrText>
            </w:r>
            <w:r w:rsidR="00BD5283">
              <w:rPr>
                <w:noProof/>
                <w:webHidden/>
              </w:rPr>
            </w:r>
            <w:r w:rsidR="00BD5283">
              <w:rPr>
                <w:noProof/>
                <w:webHidden/>
              </w:rPr>
              <w:fldChar w:fldCharType="separate"/>
            </w:r>
            <w:r w:rsidR="00BD5283">
              <w:rPr>
                <w:noProof/>
                <w:webHidden/>
              </w:rPr>
              <w:t>5</w:t>
            </w:r>
            <w:r w:rsidR="00BD5283">
              <w:rPr>
                <w:noProof/>
                <w:webHidden/>
              </w:rPr>
              <w:fldChar w:fldCharType="end"/>
            </w:r>
          </w:hyperlink>
        </w:p>
        <w:p w:rsidR="00BD5283" w:rsidRDefault="00A701D1">
          <w:pPr>
            <w:pStyle w:val="TOC3"/>
            <w:tabs>
              <w:tab w:val="right" w:leader="dot" w:pos="10456"/>
            </w:tabs>
            <w:rPr>
              <w:rFonts w:asciiTheme="minorHAnsi" w:eastAsiaTheme="minorEastAsia" w:hAnsiTheme="minorHAnsi" w:cstheme="minorBidi"/>
              <w:noProof/>
              <w:lang w:eastAsia="en-AU"/>
            </w:rPr>
          </w:pPr>
          <w:hyperlink w:anchor="_Toc499624658" w:history="1">
            <w:r w:rsidR="00BD5283" w:rsidRPr="0019712D">
              <w:rPr>
                <w:rStyle w:val="Hyperlink"/>
                <w:noProof/>
              </w:rPr>
              <w:t>Annual Report</w:t>
            </w:r>
            <w:r w:rsidR="00BD5283">
              <w:rPr>
                <w:noProof/>
                <w:webHidden/>
              </w:rPr>
              <w:tab/>
            </w:r>
            <w:r w:rsidR="00BD5283">
              <w:rPr>
                <w:noProof/>
                <w:webHidden/>
              </w:rPr>
              <w:fldChar w:fldCharType="begin"/>
            </w:r>
            <w:r w:rsidR="00BD5283">
              <w:rPr>
                <w:noProof/>
                <w:webHidden/>
              </w:rPr>
              <w:instrText xml:space="preserve"> PAGEREF _Toc499624658 \h </w:instrText>
            </w:r>
            <w:r w:rsidR="00BD5283">
              <w:rPr>
                <w:noProof/>
                <w:webHidden/>
              </w:rPr>
            </w:r>
            <w:r w:rsidR="00BD5283">
              <w:rPr>
                <w:noProof/>
                <w:webHidden/>
              </w:rPr>
              <w:fldChar w:fldCharType="separate"/>
            </w:r>
            <w:r w:rsidR="00BD5283">
              <w:rPr>
                <w:noProof/>
                <w:webHidden/>
              </w:rPr>
              <w:t>5</w:t>
            </w:r>
            <w:r w:rsidR="00BD5283">
              <w:rPr>
                <w:noProof/>
                <w:webHidden/>
              </w:rPr>
              <w:fldChar w:fldCharType="end"/>
            </w:r>
          </w:hyperlink>
        </w:p>
        <w:p w:rsidR="00BD5283" w:rsidRDefault="00A701D1">
          <w:pPr>
            <w:pStyle w:val="TOC3"/>
            <w:tabs>
              <w:tab w:val="right" w:leader="dot" w:pos="10456"/>
            </w:tabs>
            <w:rPr>
              <w:rFonts w:asciiTheme="minorHAnsi" w:eastAsiaTheme="minorEastAsia" w:hAnsiTheme="minorHAnsi" w:cstheme="minorBidi"/>
              <w:noProof/>
              <w:lang w:eastAsia="en-AU"/>
            </w:rPr>
          </w:pPr>
          <w:hyperlink w:anchor="_Toc499624659" w:history="1">
            <w:r w:rsidR="00BD5283" w:rsidRPr="0019712D">
              <w:rPr>
                <w:rStyle w:val="Hyperlink"/>
                <w:noProof/>
              </w:rPr>
              <w:t>Annual Budget</w:t>
            </w:r>
            <w:r w:rsidR="00BD5283">
              <w:rPr>
                <w:noProof/>
                <w:webHidden/>
              </w:rPr>
              <w:tab/>
            </w:r>
            <w:r w:rsidR="00BD5283">
              <w:rPr>
                <w:noProof/>
                <w:webHidden/>
              </w:rPr>
              <w:fldChar w:fldCharType="begin"/>
            </w:r>
            <w:r w:rsidR="00BD5283">
              <w:rPr>
                <w:noProof/>
                <w:webHidden/>
              </w:rPr>
              <w:instrText xml:space="preserve"> PAGEREF _Toc499624659 \h </w:instrText>
            </w:r>
            <w:r w:rsidR="00BD5283">
              <w:rPr>
                <w:noProof/>
                <w:webHidden/>
              </w:rPr>
            </w:r>
            <w:r w:rsidR="00BD5283">
              <w:rPr>
                <w:noProof/>
                <w:webHidden/>
              </w:rPr>
              <w:fldChar w:fldCharType="separate"/>
            </w:r>
            <w:r w:rsidR="00BD5283">
              <w:rPr>
                <w:noProof/>
                <w:webHidden/>
              </w:rPr>
              <w:t>6</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660" w:history="1">
            <w:r w:rsidR="00BD5283" w:rsidRPr="0019712D">
              <w:rPr>
                <w:rStyle w:val="Hyperlink"/>
                <w:noProof/>
              </w:rPr>
              <w:t>2.  Rating – the legislative framework</w:t>
            </w:r>
            <w:r w:rsidR="00BD5283">
              <w:rPr>
                <w:noProof/>
                <w:webHidden/>
              </w:rPr>
              <w:tab/>
            </w:r>
            <w:r w:rsidR="00BD5283">
              <w:rPr>
                <w:noProof/>
                <w:webHidden/>
              </w:rPr>
              <w:fldChar w:fldCharType="begin"/>
            </w:r>
            <w:r w:rsidR="00BD5283">
              <w:rPr>
                <w:noProof/>
                <w:webHidden/>
              </w:rPr>
              <w:instrText xml:space="preserve"> PAGEREF _Toc499624660 \h </w:instrText>
            </w:r>
            <w:r w:rsidR="00BD5283">
              <w:rPr>
                <w:noProof/>
                <w:webHidden/>
              </w:rPr>
            </w:r>
            <w:r w:rsidR="00BD5283">
              <w:rPr>
                <w:noProof/>
                <w:webHidden/>
              </w:rPr>
              <w:fldChar w:fldCharType="separate"/>
            </w:r>
            <w:r w:rsidR="00BD5283">
              <w:rPr>
                <w:noProof/>
                <w:webHidden/>
              </w:rPr>
              <w:t>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1" w:history="1">
            <w:r w:rsidR="00BD5283" w:rsidRPr="0019712D">
              <w:rPr>
                <w:rStyle w:val="Hyperlink"/>
                <w:noProof/>
              </w:rPr>
              <w:t>Introduction</w:t>
            </w:r>
            <w:r w:rsidR="00BD5283">
              <w:rPr>
                <w:noProof/>
                <w:webHidden/>
              </w:rPr>
              <w:tab/>
            </w:r>
            <w:r w:rsidR="00BD5283">
              <w:rPr>
                <w:noProof/>
                <w:webHidden/>
              </w:rPr>
              <w:fldChar w:fldCharType="begin"/>
            </w:r>
            <w:r w:rsidR="00BD5283">
              <w:rPr>
                <w:noProof/>
                <w:webHidden/>
              </w:rPr>
              <w:instrText xml:space="preserve"> PAGEREF _Toc499624661 \h </w:instrText>
            </w:r>
            <w:r w:rsidR="00BD5283">
              <w:rPr>
                <w:noProof/>
                <w:webHidden/>
              </w:rPr>
            </w:r>
            <w:r w:rsidR="00BD5283">
              <w:rPr>
                <w:noProof/>
                <w:webHidden/>
              </w:rPr>
              <w:fldChar w:fldCharType="separate"/>
            </w:r>
            <w:r w:rsidR="00BD5283">
              <w:rPr>
                <w:noProof/>
                <w:webHidden/>
              </w:rPr>
              <w:t>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2" w:history="1">
            <w:r w:rsidR="00BD5283" w:rsidRPr="0019712D">
              <w:rPr>
                <w:rStyle w:val="Hyperlink"/>
                <w:noProof/>
              </w:rPr>
              <w:t>Context</w:t>
            </w:r>
            <w:r w:rsidR="00BD5283">
              <w:rPr>
                <w:noProof/>
                <w:webHidden/>
              </w:rPr>
              <w:tab/>
            </w:r>
            <w:r w:rsidR="00BD5283">
              <w:rPr>
                <w:noProof/>
                <w:webHidden/>
              </w:rPr>
              <w:fldChar w:fldCharType="begin"/>
            </w:r>
            <w:r w:rsidR="00BD5283">
              <w:rPr>
                <w:noProof/>
                <w:webHidden/>
              </w:rPr>
              <w:instrText xml:space="preserve"> PAGEREF _Toc499624662 \h </w:instrText>
            </w:r>
            <w:r w:rsidR="00BD5283">
              <w:rPr>
                <w:noProof/>
                <w:webHidden/>
              </w:rPr>
            </w:r>
            <w:r w:rsidR="00BD5283">
              <w:rPr>
                <w:noProof/>
                <w:webHidden/>
              </w:rPr>
              <w:fldChar w:fldCharType="separate"/>
            </w:r>
            <w:r w:rsidR="00BD5283">
              <w:rPr>
                <w:noProof/>
                <w:webHidden/>
              </w:rPr>
              <w:t>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3" w:history="1">
            <w:r w:rsidR="00BD5283" w:rsidRPr="0019712D">
              <w:rPr>
                <w:rStyle w:val="Hyperlink"/>
                <w:noProof/>
              </w:rPr>
              <w:t>Background</w:t>
            </w:r>
            <w:r w:rsidR="00BD5283">
              <w:rPr>
                <w:noProof/>
                <w:webHidden/>
              </w:rPr>
              <w:tab/>
            </w:r>
            <w:r w:rsidR="00BD5283">
              <w:rPr>
                <w:noProof/>
                <w:webHidden/>
              </w:rPr>
              <w:fldChar w:fldCharType="begin"/>
            </w:r>
            <w:r w:rsidR="00BD5283">
              <w:rPr>
                <w:noProof/>
                <w:webHidden/>
              </w:rPr>
              <w:instrText xml:space="preserve"> PAGEREF _Toc499624663 \h </w:instrText>
            </w:r>
            <w:r w:rsidR="00BD5283">
              <w:rPr>
                <w:noProof/>
                <w:webHidden/>
              </w:rPr>
            </w:r>
            <w:r w:rsidR="00BD5283">
              <w:rPr>
                <w:noProof/>
                <w:webHidden/>
              </w:rPr>
              <w:fldChar w:fldCharType="separate"/>
            </w:r>
            <w:r w:rsidR="00BD5283">
              <w:rPr>
                <w:noProof/>
                <w:webHidden/>
              </w:rPr>
              <w:t>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4" w:history="1">
            <w:r w:rsidR="00BD5283" w:rsidRPr="0019712D">
              <w:rPr>
                <w:rStyle w:val="Hyperlink"/>
                <w:noProof/>
              </w:rPr>
              <w:t>2.1 Legislative Framework</w:t>
            </w:r>
            <w:r w:rsidR="00BD5283">
              <w:rPr>
                <w:noProof/>
                <w:webHidden/>
              </w:rPr>
              <w:tab/>
            </w:r>
            <w:r w:rsidR="00BD5283">
              <w:rPr>
                <w:noProof/>
                <w:webHidden/>
              </w:rPr>
              <w:fldChar w:fldCharType="begin"/>
            </w:r>
            <w:r w:rsidR="00BD5283">
              <w:rPr>
                <w:noProof/>
                <w:webHidden/>
              </w:rPr>
              <w:instrText xml:space="preserve"> PAGEREF _Toc499624664 \h </w:instrText>
            </w:r>
            <w:r w:rsidR="00BD5283">
              <w:rPr>
                <w:noProof/>
                <w:webHidden/>
              </w:rPr>
            </w:r>
            <w:r w:rsidR="00BD5283">
              <w:rPr>
                <w:noProof/>
                <w:webHidden/>
              </w:rPr>
              <w:fldChar w:fldCharType="separate"/>
            </w:r>
            <w:r w:rsidR="00BD5283">
              <w:rPr>
                <w:noProof/>
                <w:webHidden/>
              </w:rPr>
              <w:t>7</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5" w:history="1">
            <w:r w:rsidR="00BD5283" w:rsidRPr="0019712D">
              <w:rPr>
                <w:rStyle w:val="Hyperlink"/>
                <w:noProof/>
              </w:rPr>
              <w:t>2.2 Principles of taxation – local government</w:t>
            </w:r>
            <w:r w:rsidR="00BD5283">
              <w:rPr>
                <w:noProof/>
                <w:webHidden/>
              </w:rPr>
              <w:tab/>
            </w:r>
            <w:r w:rsidR="00BD5283">
              <w:rPr>
                <w:noProof/>
                <w:webHidden/>
              </w:rPr>
              <w:fldChar w:fldCharType="begin"/>
            </w:r>
            <w:r w:rsidR="00BD5283">
              <w:rPr>
                <w:noProof/>
                <w:webHidden/>
              </w:rPr>
              <w:instrText xml:space="preserve"> PAGEREF _Toc499624665 \h </w:instrText>
            </w:r>
            <w:r w:rsidR="00BD5283">
              <w:rPr>
                <w:noProof/>
                <w:webHidden/>
              </w:rPr>
            </w:r>
            <w:r w:rsidR="00BD5283">
              <w:rPr>
                <w:noProof/>
                <w:webHidden/>
              </w:rPr>
              <w:fldChar w:fldCharType="separate"/>
            </w:r>
            <w:r w:rsidR="00BD5283">
              <w:rPr>
                <w:noProof/>
                <w:webHidden/>
              </w:rPr>
              <w:t>8</w:t>
            </w:r>
            <w:r w:rsidR="00BD5283">
              <w:rPr>
                <w:noProof/>
                <w:webHidden/>
              </w:rPr>
              <w:fldChar w:fldCharType="end"/>
            </w:r>
          </w:hyperlink>
        </w:p>
        <w:p w:rsidR="00BD5283" w:rsidRDefault="00A701D1">
          <w:pPr>
            <w:pStyle w:val="TOC3"/>
            <w:tabs>
              <w:tab w:val="right" w:leader="dot" w:pos="10456"/>
            </w:tabs>
            <w:rPr>
              <w:rFonts w:asciiTheme="minorHAnsi" w:eastAsiaTheme="minorEastAsia" w:hAnsiTheme="minorHAnsi" w:cstheme="minorBidi"/>
              <w:noProof/>
              <w:lang w:eastAsia="en-AU"/>
            </w:rPr>
          </w:pPr>
          <w:hyperlink w:anchor="_Toc499624666" w:history="1">
            <w:r w:rsidR="00BD5283" w:rsidRPr="0019712D">
              <w:rPr>
                <w:rStyle w:val="Hyperlink"/>
                <w:noProof/>
              </w:rPr>
              <w:t>Tax design principles</w:t>
            </w:r>
            <w:r w:rsidR="00BD5283">
              <w:rPr>
                <w:noProof/>
                <w:webHidden/>
              </w:rPr>
              <w:tab/>
            </w:r>
            <w:r w:rsidR="00BD5283">
              <w:rPr>
                <w:noProof/>
                <w:webHidden/>
              </w:rPr>
              <w:fldChar w:fldCharType="begin"/>
            </w:r>
            <w:r w:rsidR="00BD5283">
              <w:rPr>
                <w:noProof/>
                <w:webHidden/>
              </w:rPr>
              <w:instrText xml:space="preserve"> PAGEREF _Toc499624666 \h </w:instrText>
            </w:r>
            <w:r w:rsidR="00BD5283">
              <w:rPr>
                <w:noProof/>
                <w:webHidden/>
              </w:rPr>
            </w:r>
            <w:r w:rsidR="00BD5283">
              <w:rPr>
                <w:noProof/>
                <w:webHidden/>
              </w:rPr>
              <w:fldChar w:fldCharType="separate"/>
            </w:r>
            <w:r w:rsidR="00BD5283">
              <w:rPr>
                <w:noProof/>
                <w:webHidden/>
              </w:rPr>
              <w:t>8</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7" w:history="1">
            <w:r w:rsidR="00BD5283" w:rsidRPr="0019712D">
              <w:rPr>
                <w:rStyle w:val="Hyperlink"/>
                <w:noProof/>
              </w:rPr>
              <w:t>2.3 What Rates and Charges may a Council declare?</w:t>
            </w:r>
            <w:r w:rsidR="00BD5283">
              <w:rPr>
                <w:noProof/>
                <w:webHidden/>
              </w:rPr>
              <w:tab/>
            </w:r>
            <w:r w:rsidR="00BD5283">
              <w:rPr>
                <w:noProof/>
                <w:webHidden/>
              </w:rPr>
              <w:fldChar w:fldCharType="begin"/>
            </w:r>
            <w:r w:rsidR="00BD5283">
              <w:rPr>
                <w:noProof/>
                <w:webHidden/>
              </w:rPr>
              <w:instrText xml:space="preserve"> PAGEREF _Toc499624667 \h </w:instrText>
            </w:r>
            <w:r w:rsidR="00BD5283">
              <w:rPr>
                <w:noProof/>
                <w:webHidden/>
              </w:rPr>
            </w:r>
            <w:r w:rsidR="00BD5283">
              <w:rPr>
                <w:noProof/>
                <w:webHidden/>
              </w:rPr>
              <w:fldChar w:fldCharType="separate"/>
            </w:r>
            <w:r w:rsidR="00BD5283">
              <w:rPr>
                <w:noProof/>
                <w:webHidden/>
              </w:rPr>
              <w:t>9</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8" w:history="1">
            <w:r w:rsidR="00BD5283" w:rsidRPr="0019712D">
              <w:rPr>
                <w:rStyle w:val="Hyperlink"/>
                <w:noProof/>
              </w:rPr>
              <w:t>2.4 Valuation Methodology available to Council</w:t>
            </w:r>
            <w:r w:rsidR="00BD5283">
              <w:rPr>
                <w:noProof/>
                <w:webHidden/>
              </w:rPr>
              <w:tab/>
            </w:r>
            <w:r w:rsidR="00BD5283">
              <w:rPr>
                <w:noProof/>
                <w:webHidden/>
              </w:rPr>
              <w:fldChar w:fldCharType="begin"/>
            </w:r>
            <w:r w:rsidR="00BD5283">
              <w:rPr>
                <w:noProof/>
                <w:webHidden/>
              </w:rPr>
              <w:instrText xml:space="preserve"> PAGEREF _Toc499624668 \h </w:instrText>
            </w:r>
            <w:r w:rsidR="00BD5283">
              <w:rPr>
                <w:noProof/>
                <w:webHidden/>
              </w:rPr>
            </w:r>
            <w:r w:rsidR="00BD5283">
              <w:rPr>
                <w:noProof/>
                <w:webHidden/>
              </w:rPr>
              <w:fldChar w:fldCharType="separate"/>
            </w:r>
            <w:r w:rsidR="00BD5283">
              <w:rPr>
                <w:noProof/>
                <w:webHidden/>
              </w:rPr>
              <w:t>9</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69" w:history="1">
            <w:r w:rsidR="00BD5283" w:rsidRPr="0019712D">
              <w:rPr>
                <w:rStyle w:val="Hyperlink"/>
                <w:noProof/>
              </w:rPr>
              <w:t>2.5 Declaring Rates and Charges</w:t>
            </w:r>
            <w:r w:rsidR="00BD5283">
              <w:rPr>
                <w:noProof/>
                <w:webHidden/>
              </w:rPr>
              <w:tab/>
            </w:r>
            <w:r w:rsidR="00BD5283">
              <w:rPr>
                <w:noProof/>
                <w:webHidden/>
              </w:rPr>
              <w:fldChar w:fldCharType="begin"/>
            </w:r>
            <w:r w:rsidR="00BD5283">
              <w:rPr>
                <w:noProof/>
                <w:webHidden/>
              </w:rPr>
              <w:instrText xml:space="preserve"> PAGEREF _Toc499624669 \h </w:instrText>
            </w:r>
            <w:r w:rsidR="00BD5283">
              <w:rPr>
                <w:noProof/>
                <w:webHidden/>
              </w:rPr>
            </w:r>
            <w:r w:rsidR="00BD5283">
              <w:rPr>
                <w:noProof/>
                <w:webHidden/>
              </w:rPr>
              <w:fldChar w:fldCharType="separate"/>
            </w:r>
            <w:r w:rsidR="00BD5283">
              <w:rPr>
                <w:noProof/>
                <w:webHidden/>
              </w:rPr>
              <w:t>9</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0" w:history="1">
            <w:r w:rsidR="00BD5283" w:rsidRPr="0019712D">
              <w:rPr>
                <w:rStyle w:val="Hyperlink"/>
                <w:noProof/>
              </w:rPr>
              <w:t>2.6 Other legislative changes</w:t>
            </w:r>
            <w:r w:rsidR="00BD5283">
              <w:rPr>
                <w:noProof/>
                <w:webHidden/>
              </w:rPr>
              <w:tab/>
            </w:r>
            <w:r w:rsidR="00BD5283">
              <w:rPr>
                <w:noProof/>
                <w:webHidden/>
              </w:rPr>
              <w:fldChar w:fldCharType="begin"/>
            </w:r>
            <w:r w:rsidR="00BD5283">
              <w:rPr>
                <w:noProof/>
                <w:webHidden/>
              </w:rPr>
              <w:instrText xml:space="preserve"> PAGEREF _Toc499624670 \h </w:instrText>
            </w:r>
            <w:r w:rsidR="00BD5283">
              <w:rPr>
                <w:noProof/>
                <w:webHidden/>
              </w:rPr>
            </w:r>
            <w:r w:rsidR="00BD5283">
              <w:rPr>
                <w:noProof/>
                <w:webHidden/>
              </w:rPr>
              <w:fldChar w:fldCharType="separate"/>
            </w:r>
            <w:r w:rsidR="00BD5283">
              <w:rPr>
                <w:noProof/>
                <w:webHidden/>
              </w:rPr>
              <w:t>10</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1" w:history="1">
            <w:r w:rsidR="00BD5283" w:rsidRPr="0019712D">
              <w:rPr>
                <w:rStyle w:val="Hyperlink"/>
                <w:noProof/>
              </w:rPr>
              <w:t>Ministerial Rating Guidelines</w:t>
            </w:r>
            <w:r w:rsidR="00BD5283">
              <w:rPr>
                <w:noProof/>
                <w:webHidden/>
              </w:rPr>
              <w:tab/>
            </w:r>
            <w:r w:rsidR="00BD5283">
              <w:rPr>
                <w:noProof/>
                <w:webHidden/>
              </w:rPr>
              <w:fldChar w:fldCharType="begin"/>
            </w:r>
            <w:r w:rsidR="00BD5283">
              <w:rPr>
                <w:noProof/>
                <w:webHidden/>
              </w:rPr>
              <w:instrText xml:space="preserve"> PAGEREF _Toc499624671 \h </w:instrText>
            </w:r>
            <w:r w:rsidR="00BD5283">
              <w:rPr>
                <w:noProof/>
                <w:webHidden/>
              </w:rPr>
            </w:r>
            <w:r w:rsidR="00BD5283">
              <w:rPr>
                <w:noProof/>
                <w:webHidden/>
              </w:rPr>
              <w:fldChar w:fldCharType="separate"/>
            </w:r>
            <w:r w:rsidR="00BD5283">
              <w:rPr>
                <w:noProof/>
                <w:webHidden/>
              </w:rPr>
              <w:t>10</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2" w:history="1">
            <w:r w:rsidR="00BD5283" w:rsidRPr="0019712D">
              <w:rPr>
                <w:rStyle w:val="Hyperlink"/>
                <w:i/>
                <w:noProof/>
              </w:rPr>
              <w:t>Key messages from the Ministerial Guidelines</w:t>
            </w:r>
            <w:r w:rsidR="00BD5283">
              <w:rPr>
                <w:noProof/>
                <w:webHidden/>
              </w:rPr>
              <w:tab/>
            </w:r>
            <w:r w:rsidR="00BD5283">
              <w:rPr>
                <w:noProof/>
                <w:webHidden/>
              </w:rPr>
              <w:fldChar w:fldCharType="begin"/>
            </w:r>
            <w:r w:rsidR="00BD5283">
              <w:rPr>
                <w:noProof/>
                <w:webHidden/>
              </w:rPr>
              <w:instrText xml:space="preserve"> PAGEREF _Toc499624672 \h </w:instrText>
            </w:r>
            <w:r w:rsidR="00BD5283">
              <w:rPr>
                <w:noProof/>
                <w:webHidden/>
              </w:rPr>
            </w:r>
            <w:r w:rsidR="00BD5283">
              <w:rPr>
                <w:noProof/>
                <w:webHidden/>
              </w:rPr>
              <w:fldChar w:fldCharType="separate"/>
            </w:r>
            <w:r w:rsidR="00BD5283">
              <w:rPr>
                <w:noProof/>
                <w:webHidden/>
              </w:rPr>
              <w:t>10</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3" w:history="1">
            <w:r w:rsidR="00BD5283" w:rsidRPr="0019712D">
              <w:rPr>
                <w:rStyle w:val="Hyperlink"/>
                <w:noProof/>
              </w:rPr>
              <w:t>Fire Services Property Levy</w:t>
            </w:r>
            <w:r w:rsidR="00BD5283">
              <w:rPr>
                <w:noProof/>
                <w:webHidden/>
              </w:rPr>
              <w:tab/>
            </w:r>
            <w:r w:rsidR="00BD5283">
              <w:rPr>
                <w:noProof/>
                <w:webHidden/>
              </w:rPr>
              <w:fldChar w:fldCharType="begin"/>
            </w:r>
            <w:r w:rsidR="00BD5283">
              <w:rPr>
                <w:noProof/>
                <w:webHidden/>
              </w:rPr>
              <w:instrText xml:space="preserve"> PAGEREF _Toc499624673 \h </w:instrText>
            </w:r>
            <w:r w:rsidR="00BD5283">
              <w:rPr>
                <w:noProof/>
                <w:webHidden/>
              </w:rPr>
            </w:r>
            <w:r w:rsidR="00BD5283">
              <w:rPr>
                <w:noProof/>
                <w:webHidden/>
              </w:rPr>
              <w:fldChar w:fldCharType="separate"/>
            </w:r>
            <w:r w:rsidR="00BD5283">
              <w:rPr>
                <w:noProof/>
                <w:webHidden/>
              </w:rPr>
              <w:t>10</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674" w:history="1">
            <w:r w:rsidR="00BD5283" w:rsidRPr="0019712D">
              <w:rPr>
                <w:rStyle w:val="Hyperlink"/>
                <w:noProof/>
              </w:rPr>
              <w:t>3.  Understanding the current rating framework at Maroondah City Council</w:t>
            </w:r>
            <w:r w:rsidR="00BD5283">
              <w:rPr>
                <w:noProof/>
                <w:webHidden/>
              </w:rPr>
              <w:tab/>
            </w:r>
            <w:r w:rsidR="00BD5283">
              <w:rPr>
                <w:noProof/>
                <w:webHidden/>
              </w:rPr>
              <w:fldChar w:fldCharType="begin"/>
            </w:r>
            <w:r w:rsidR="00BD5283">
              <w:rPr>
                <w:noProof/>
                <w:webHidden/>
              </w:rPr>
              <w:instrText xml:space="preserve"> PAGEREF _Toc499624674 \h </w:instrText>
            </w:r>
            <w:r w:rsidR="00BD5283">
              <w:rPr>
                <w:noProof/>
                <w:webHidden/>
              </w:rPr>
            </w:r>
            <w:r w:rsidR="00BD5283">
              <w:rPr>
                <w:noProof/>
                <w:webHidden/>
              </w:rPr>
              <w:fldChar w:fldCharType="separate"/>
            </w:r>
            <w:r w:rsidR="00BD5283">
              <w:rPr>
                <w:noProof/>
                <w:webHidden/>
              </w:rPr>
              <w:t>11</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675" w:history="1">
            <w:r w:rsidR="00BD5283" w:rsidRPr="0019712D">
              <w:rPr>
                <w:rStyle w:val="Hyperlink"/>
                <w:noProof/>
              </w:rPr>
              <w:t>4.  Determining which valuation base to use</w:t>
            </w:r>
            <w:r w:rsidR="00BD5283">
              <w:rPr>
                <w:noProof/>
                <w:webHidden/>
              </w:rPr>
              <w:tab/>
            </w:r>
            <w:r w:rsidR="00BD5283">
              <w:rPr>
                <w:noProof/>
                <w:webHidden/>
              </w:rPr>
              <w:fldChar w:fldCharType="begin"/>
            </w:r>
            <w:r w:rsidR="00BD5283">
              <w:rPr>
                <w:noProof/>
                <w:webHidden/>
              </w:rPr>
              <w:instrText xml:space="preserve"> PAGEREF _Toc499624675 \h </w:instrText>
            </w:r>
            <w:r w:rsidR="00BD5283">
              <w:rPr>
                <w:noProof/>
                <w:webHidden/>
              </w:rPr>
            </w:r>
            <w:r w:rsidR="00BD5283">
              <w:rPr>
                <w:noProof/>
                <w:webHidden/>
              </w:rPr>
              <w:fldChar w:fldCharType="separate"/>
            </w:r>
            <w:r w:rsidR="00BD5283">
              <w:rPr>
                <w:noProof/>
                <w:webHidden/>
              </w:rPr>
              <w:t>11</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6" w:history="1">
            <w:r w:rsidR="00BD5283" w:rsidRPr="0019712D">
              <w:rPr>
                <w:rStyle w:val="Hyperlink"/>
                <w:noProof/>
              </w:rPr>
              <w:t>4.1 Capital Improved Value (CIV)</w:t>
            </w:r>
            <w:r w:rsidR="00BD5283">
              <w:rPr>
                <w:noProof/>
                <w:webHidden/>
              </w:rPr>
              <w:tab/>
            </w:r>
            <w:r w:rsidR="00BD5283">
              <w:rPr>
                <w:noProof/>
                <w:webHidden/>
              </w:rPr>
              <w:fldChar w:fldCharType="begin"/>
            </w:r>
            <w:r w:rsidR="00BD5283">
              <w:rPr>
                <w:noProof/>
                <w:webHidden/>
              </w:rPr>
              <w:instrText xml:space="preserve"> PAGEREF _Toc499624676 \h </w:instrText>
            </w:r>
            <w:r w:rsidR="00BD5283">
              <w:rPr>
                <w:noProof/>
                <w:webHidden/>
              </w:rPr>
            </w:r>
            <w:r w:rsidR="00BD5283">
              <w:rPr>
                <w:noProof/>
                <w:webHidden/>
              </w:rPr>
              <w:fldChar w:fldCharType="separate"/>
            </w:r>
            <w:r w:rsidR="00BD5283">
              <w:rPr>
                <w:noProof/>
                <w:webHidden/>
              </w:rPr>
              <w:t>12</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7" w:history="1">
            <w:r w:rsidR="00BD5283" w:rsidRPr="0019712D">
              <w:rPr>
                <w:rStyle w:val="Hyperlink"/>
                <w:noProof/>
              </w:rPr>
              <w:t>Advantages of using Capital Improved Valuation (CIV)</w:t>
            </w:r>
            <w:r w:rsidR="00BD5283">
              <w:rPr>
                <w:noProof/>
                <w:webHidden/>
              </w:rPr>
              <w:tab/>
            </w:r>
            <w:r w:rsidR="00BD5283">
              <w:rPr>
                <w:noProof/>
                <w:webHidden/>
              </w:rPr>
              <w:fldChar w:fldCharType="begin"/>
            </w:r>
            <w:r w:rsidR="00BD5283">
              <w:rPr>
                <w:noProof/>
                <w:webHidden/>
              </w:rPr>
              <w:instrText xml:space="preserve"> PAGEREF _Toc499624677 \h </w:instrText>
            </w:r>
            <w:r w:rsidR="00BD5283">
              <w:rPr>
                <w:noProof/>
                <w:webHidden/>
              </w:rPr>
            </w:r>
            <w:r w:rsidR="00BD5283">
              <w:rPr>
                <w:noProof/>
                <w:webHidden/>
              </w:rPr>
              <w:fldChar w:fldCharType="separate"/>
            </w:r>
            <w:r w:rsidR="00BD5283">
              <w:rPr>
                <w:noProof/>
                <w:webHidden/>
              </w:rPr>
              <w:t>12</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8" w:history="1">
            <w:r w:rsidR="00BD5283" w:rsidRPr="0019712D">
              <w:rPr>
                <w:rStyle w:val="Hyperlink"/>
                <w:noProof/>
              </w:rPr>
              <w:t>Disadvantages of using CIV</w:t>
            </w:r>
            <w:r w:rsidR="00BD5283">
              <w:rPr>
                <w:noProof/>
                <w:webHidden/>
              </w:rPr>
              <w:tab/>
            </w:r>
            <w:r w:rsidR="00BD5283">
              <w:rPr>
                <w:noProof/>
                <w:webHidden/>
              </w:rPr>
              <w:fldChar w:fldCharType="begin"/>
            </w:r>
            <w:r w:rsidR="00BD5283">
              <w:rPr>
                <w:noProof/>
                <w:webHidden/>
              </w:rPr>
              <w:instrText xml:space="preserve"> PAGEREF _Toc499624678 \h </w:instrText>
            </w:r>
            <w:r w:rsidR="00BD5283">
              <w:rPr>
                <w:noProof/>
                <w:webHidden/>
              </w:rPr>
            </w:r>
            <w:r w:rsidR="00BD5283">
              <w:rPr>
                <w:noProof/>
                <w:webHidden/>
              </w:rPr>
              <w:fldChar w:fldCharType="separate"/>
            </w:r>
            <w:r w:rsidR="00BD5283">
              <w:rPr>
                <w:noProof/>
                <w:webHidden/>
              </w:rPr>
              <w:t>12</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79" w:history="1">
            <w:r w:rsidR="00BD5283" w:rsidRPr="0019712D">
              <w:rPr>
                <w:rStyle w:val="Hyperlink"/>
                <w:noProof/>
              </w:rPr>
              <w:t>4.2 Site Value (SV)</w:t>
            </w:r>
            <w:r w:rsidR="00BD5283">
              <w:rPr>
                <w:noProof/>
                <w:webHidden/>
              </w:rPr>
              <w:tab/>
            </w:r>
            <w:r w:rsidR="00BD5283">
              <w:rPr>
                <w:noProof/>
                <w:webHidden/>
              </w:rPr>
              <w:fldChar w:fldCharType="begin"/>
            </w:r>
            <w:r w:rsidR="00BD5283">
              <w:rPr>
                <w:noProof/>
                <w:webHidden/>
              </w:rPr>
              <w:instrText xml:space="preserve"> PAGEREF _Toc499624679 \h </w:instrText>
            </w:r>
            <w:r w:rsidR="00BD5283">
              <w:rPr>
                <w:noProof/>
                <w:webHidden/>
              </w:rPr>
            </w:r>
            <w:r w:rsidR="00BD5283">
              <w:rPr>
                <w:noProof/>
                <w:webHidden/>
              </w:rPr>
              <w:fldChar w:fldCharType="separate"/>
            </w:r>
            <w:r w:rsidR="00BD5283">
              <w:rPr>
                <w:noProof/>
                <w:webHidden/>
              </w:rPr>
              <w:t>12</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0" w:history="1">
            <w:r w:rsidR="00BD5283" w:rsidRPr="0019712D">
              <w:rPr>
                <w:rStyle w:val="Hyperlink"/>
                <w:noProof/>
              </w:rPr>
              <w:t>Advantages of Site Value</w:t>
            </w:r>
            <w:r w:rsidR="00BD5283">
              <w:rPr>
                <w:noProof/>
                <w:webHidden/>
              </w:rPr>
              <w:tab/>
            </w:r>
            <w:r w:rsidR="00BD5283">
              <w:rPr>
                <w:noProof/>
                <w:webHidden/>
              </w:rPr>
              <w:fldChar w:fldCharType="begin"/>
            </w:r>
            <w:r w:rsidR="00BD5283">
              <w:rPr>
                <w:noProof/>
                <w:webHidden/>
              </w:rPr>
              <w:instrText xml:space="preserve"> PAGEREF _Toc499624680 \h </w:instrText>
            </w:r>
            <w:r w:rsidR="00BD5283">
              <w:rPr>
                <w:noProof/>
                <w:webHidden/>
              </w:rPr>
            </w:r>
            <w:r w:rsidR="00BD5283">
              <w:rPr>
                <w:noProof/>
                <w:webHidden/>
              </w:rPr>
              <w:fldChar w:fldCharType="separate"/>
            </w:r>
            <w:r w:rsidR="00BD5283">
              <w:rPr>
                <w:noProof/>
                <w:webHidden/>
              </w:rPr>
              <w:t>12</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1" w:history="1">
            <w:r w:rsidR="00BD5283" w:rsidRPr="0019712D">
              <w:rPr>
                <w:rStyle w:val="Hyperlink"/>
                <w:noProof/>
              </w:rPr>
              <w:t>Disadvantages in using Site Value</w:t>
            </w:r>
            <w:r w:rsidR="00BD5283">
              <w:rPr>
                <w:noProof/>
                <w:webHidden/>
              </w:rPr>
              <w:tab/>
            </w:r>
            <w:r w:rsidR="00BD5283">
              <w:rPr>
                <w:noProof/>
                <w:webHidden/>
              </w:rPr>
              <w:fldChar w:fldCharType="begin"/>
            </w:r>
            <w:r w:rsidR="00BD5283">
              <w:rPr>
                <w:noProof/>
                <w:webHidden/>
              </w:rPr>
              <w:instrText xml:space="preserve"> PAGEREF _Toc499624681 \h </w:instrText>
            </w:r>
            <w:r w:rsidR="00BD5283">
              <w:rPr>
                <w:noProof/>
                <w:webHidden/>
              </w:rPr>
            </w:r>
            <w:r w:rsidR="00BD5283">
              <w:rPr>
                <w:noProof/>
                <w:webHidden/>
              </w:rPr>
              <w:fldChar w:fldCharType="separate"/>
            </w:r>
            <w:r w:rsidR="00BD5283">
              <w:rPr>
                <w:noProof/>
                <w:webHidden/>
              </w:rPr>
              <w:t>13</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2" w:history="1">
            <w:r w:rsidR="00BD5283" w:rsidRPr="0019712D">
              <w:rPr>
                <w:rStyle w:val="Hyperlink"/>
                <w:noProof/>
              </w:rPr>
              <w:t>4.3 Net Annual Value (NAV)</w:t>
            </w:r>
            <w:r w:rsidR="00BD5283">
              <w:rPr>
                <w:noProof/>
                <w:webHidden/>
              </w:rPr>
              <w:tab/>
            </w:r>
            <w:r w:rsidR="00BD5283">
              <w:rPr>
                <w:noProof/>
                <w:webHidden/>
              </w:rPr>
              <w:fldChar w:fldCharType="begin"/>
            </w:r>
            <w:r w:rsidR="00BD5283">
              <w:rPr>
                <w:noProof/>
                <w:webHidden/>
              </w:rPr>
              <w:instrText xml:space="preserve"> PAGEREF _Toc499624682 \h </w:instrText>
            </w:r>
            <w:r w:rsidR="00BD5283">
              <w:rPr>
                <w:noProof/>
                <w:webHidden/>
              </w:rPr>
            </w:r>
            <w:r w:rsidR="00BD5283">
              <w:rPr>
                <w:noProof/>
                <w:webHidden/>
              </w:rPr>
              <w:fldChar w:fldCharType="separate"/>
            </w:r>
            <w:r w:rsidR="00BD5283">
              <w:rPr>
                <w:noProof/>
                <w:webHidden/>
              </w:rPr>
              <w:t>13</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3" w:history="1">
            <w:r w:rsidR="00BD5283" w:rsidRPr="0019712D">
              <w:rPr>
                <w:rStyle w:val="Hyperlink"/>
                <w:noProof/>
              </w:rPr>
              <w:t>4.4 Summary</w:t>
            </w:r>
            <w:r w:rsidR="00BD5283">
              <w:rPr>
                <w:noProof/>
                <w:webHidden/>
              </w:rPr>
              <w:tab/>
            </w:r>
            <w:r w:rsidR="00BD5283">
              <w:rPr>
                <w:noProof/>
                <w:webHidden/>
              </w:rPr>
              <w:fldChar w:fldCharType="begin"/>
            </w:r>
            <w:r w:rsidR="00BD5283">
              <w:rPr>
                <w:noProof/>
                <w:webHidden/>
              </w:rPr>
              <w:instrText xml:space="preserve"> PAGEREF _Toc499624683 \h </w:instrText>
            </w:r>
            <w:r w:rsidR="00BD5283">
              <w:rPr>
                <w:noProof/>
                <w:webHidden/>
              </w:rPr>
            </w:r>
            <w:r w:rsidR="00BD5283">
              <w:rPr>
                <w:noProof/>
                <w:webHidden/>
              </w:rPr>
              <w:fldChar w:fldCharType="separate"/>
            </w:r>
            <w:r w:rsidR="00BD5283">
              <w:rPr>
                <w:noProof/>
                <w:webHidden/>
              </w:rPr>
              <w:t>13</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4" w:history="1">
            <w:r w:rsidR="00BD5283" w:rsidRPr="0019712D">
              <w:rPr>
                <w:rStyle w:val="Hyperlink"/>
                <w:noProof/>
              </w:rPr>
              <w:t>Strategy Recommendation</w:t>
            </w:r>
            <w:r w:rsidR="00BD5283">
              <w:rPr>
                <w:noProof/>
                <w:webHidden/>
              </w:rPr>
              <w:tab/>
            </w:r>
            <w:r w:rsidR="00BD5283">
              <w:rPr>
                <w:noProof/>
                <w:webHidden/>
              </w:rPr>
              <w:fldChar w:fldCharType="begin"/>
            </w:r>
            <w:r w:rsidR="00BD5283">
              <w:rPr>
                <w:noProof/>
                <w:webHidden/>
              </w:rPr>
              <w:instrText xml:space="preserve"> PAGEREF _Toc499624684 \h </w:instrText>
            </w:r>
            <w:r w:rsidR="00BD5283">
              <w:rPr>
                <w:noProof/>
                <w:webHidden/>
              </w:rPr>
            </w:r>
            <w:r w:rsidR="00BD5283">
              <w:rPr>
                <w:noProof/>
                <w:webHidden/>
              </w:rPr>
              <w:fldChar w:fldCharType="separate"/>
            </w:r>
            <w:r w:rsidR="00BD5283">
              <w:rPr>
                <w:noProof/>
                <w:webHidden/>
              </w:rPr>
              <w:t>13</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685" w:history="1">
            <w:r w:rsidR="00BD5283" w:rsidRPr="0019712D">
              <w:rPr>
                <w:rStyle w:val="Hyperlink"/>
                <w:noProof/>
                <w:lang w:val="en-US"/>
              </w:rPr>
              <w:t>5.  Determining the rating system – uniform or differential?</w:t>
            </w:r>
            <w:r w:rsidR="00BD5283">
              <w:rPr>
                <w:noProof/>
                <w:webHidden/>
              </w:rPr>
              <w:tab/>
            </w:r>
            <w:r w:rsidR="00BD5283">
              <w:rPr>
                <w:noProof/>
                <w:webHidden/>
              </w:rPr>
              <w:fldChar w:fldCharType="begin"/>
            </w:r>
            <w:r w:rsidR="00BD5283">
              <w:rPr>
                <w:noProof/>
                <w:webHidden/>
              </w:rPr>
              <w:instrText xml:space="preserve"> PAGEREF _Toc499624685 \h </w:instrText>
            </w:r>
            <w:r w:rsidR="00BD5283">
              <w:rPr>
                <w:noProof/>
                <w:webHidden/>
              </w:rPr>
            </w:r>
            <w:r w:rsidR="00BD5283">
              <w:rPr>
                <w:noProof/>
                <w:webHidden/>
              </w:rPr>
              <w:fldChar w:fldCharType="separate"/>
            </w:r>
            <w:r w:rsidR="00BD5283">
              <w:rPr>
                <w:noProof/>
                <w:webHidden/>
              </w:rPr>
              <w:t>14</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6" w:history="1">
            <w:r w:rsidR="00BD5283" w:rsidRPr="0019712D">
              <w:rPr>
                <w:rStyle w:val="Hyperlink"/>
                <w:noProof/>
              </w:rPr>
              <w:t>5.1 Uniform rate</w:t>
            </w:r>
            <w:r w:rsidR="00BD5283">
              <w:rPr>
                <w:noProof/>
                <w:webHidden/>
              </w:rPr>
              <w:tab/>
            </w:r>
            <w:r w:rsidR="00BD5283">
              <w:rPr>
                <w:noProof/>
                <w:webHidden/>
              </w:rPr>
              <w:fldChar w:fldCharType="begin"/>
            </w:r>
            <w:r w:rsidR="00BD5283">
              <w:rPr>
                <w:noProof/>
                <w:webHidden/>
              </w:rPr>
              <w:instrText xml:space="preserve"> PAGEREF _Toc499624686 \h </w:instrText>
            </w:r>
            <w:r w:rsidR="00BD5283">
              <w:rPr>
                <w:noProof/>
                <w:webHidden/>
              </w:rPr>
            </w:r>
            <w:r w:rsidR="00BD5283">
              <w:rPr>
                <w:noProof/>
                <w:webHidden/>
              </w:rPr>
              <w:fldChar w:fldCharType="separate"/>
            </w:r>
            <w:r w:rsidR="00BD5283">
              <w:rPr>
                <w:noProof/>
                <w:webHidden/>
              </w:rPr>
              <w:t>14</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7" w:history="1">
            <w:r w:rsidR="00BD5283" w:rsidRPr="0019712D">
              <w:rPr>
                <w:rStyle w:val="Hyperlink"/>
                <w:noProof/>
              </w:rPr>
              <w:t>5.2 Differential Rates</w:t>
            </w:r>
            <w:r w:rsidR="00BD5283">
              <w:rPr>
                <w:noProof/>
                <w:webHidden/>
              </w:rPr>
              <w:tab/>
            </w:r>
            <w:r w:rsidR="00BD5283">
              <w:rPr>
                <w:noProof/>
                <w:webHidden/>
              </w:rPr>
              <w:fldChar w:fldCharType="begin"/>
            </w:r>
            <w:r w:rsidR="00BD5283">
              <w:rPr>
                <w:noProof/>
                <w:webHidden/>
              </w:rPr>
              <w:instrText xml:space="preserve"> PAGEREF _Toc499624687 \h </w:instrText>
            </w:r>
            <w:r w:rsidR="00BD5283">
              <w:rPr>
                <w:noProof/>
                <w:webHidden/>
              </w:rPr>
            </w:r>
            <w:r w:rsidR="00BD5283">
              <w:rPr>
                <w:noProof/>
                <w:webHidden/>
              </w:rPr>
              <w:fldChar w:fldCharType="separate"/>
            </w:r>
            <w:r w:rsidR="00BD5283">
              <w:rPr>
                <w:noProof/>
                <w:webHidden/>
              </w:rPr>
              <w:t>14</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8" w:history="1">
            <w:r w:rsidR="00BD5283" w:rsidRPr="0019712D">
              <w:rPr>
                <w:rStyle w:val="Hyperlink"/>
                <w:noProof/>
              </w:rPr>
              <w:t>5.3 Objective of the rate and characteristics</w:t>
            </w:r>
            <w:r w:rsidR="00BD5283">
              <w:rPr>
                <w:noProof/>
                <w:webHidden/>
              </w:rPr>
              <w:tab/>
            </w:r>
            <w:r w:rsidR="00BD5283">
              <w:rPr>
                <w:noProof/>
                <w:webHidden/>
              </w:rPr>
              <w:fldChar w:fldCharType="begin"/>
            </w:r>
            <w:r w:rsidR="00BD5283">
              <w:rPr>
                <w:noProof/>
                <w:webHidden/>
              </w:rPr>
              <w:instrText xml:space="preserve"> PAGEREF _Toc499624688 \h </w:instrText>
            </w:r>
            <w:r w:rsidR="00BD5283">
              <w:rPr>
                <w:noProof/>
                <w:webHidden/>
              </w:rPr>
            </w:r>
            <w:r w:rsidR="00BD5283">
              <w:rPr>
                <w:noProof/>
                <w:webHidden/>
              </w:rPr>
              <w:fldChar w:fldCharType="separate"/>
            </w:r>
            <w:r w:rsidR="00BD5283">
              <w:rPr>
                <w:noProof/>
                <w:webHidden/>
              </w:rPr>
              <w:t>14</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89" w:history="1">
            <w:r w:rsidR="00BD5283" w:rsidRPr="0019712D">
              <w:rPr>
                <w:rStyle w:val="Hyperlink"/>
                <w:noProof/>
              </w:rPr>
              <w:t>Vacant residential land</w:t>
            </w:r>
            <w:r w:rsidR="00BD5283">
              <w:rPr>
                <w:noProof/>
                <w:webHidden/>
              </w:rPr>
              <w:tab/>
            </w:r>
            <w:r w:rsidR="00BD5283">
              <w:rPr>
                <w:noProof/>
                <w:webHidden/>
              </w:rPr>
              <w:fldChar w:fldCharType="begin"/>
            </w:r>
            <w:r w:rsidR="00BD5283">
              <w:rPr>
                <w:noProof/>
                <w:webHidden/>
              </w:rPr>
              <w:instrText xml:space="preserve"> PAGEREF _Toc499624689 \h </w:instrText>
            </w:r>
            <w:r w:rsidR="00BD5283">
              <w:rPr>
                <w:noProof/>
                <w:webHidden/>
              </w:rPr>
            </w:r>
            <w:r w:rsidR="00BD5283">
              <w:rPr>
                <w:noProof/>
                <w:webHidden/>
              </w:rPr>
              <w:fldChar w:fldCharType="separate"/>
            </w:r>
            <w:r w:rsidR="00BD5283">
              <w:rPr>
                <w:noProof/>
                <w:webHidden/>
              </w:rPr>
              <w:t>15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0" w:history="1">
            <w:r w:rsidR="00BD5283" w:rsidRPr="0019712D">
              <w:rPr>
                <w:rStyle w:val="Hyperlink"/>
                <w:noProof/>
              </w:rPr>
              <w:t>5.4 Advantages of a differential rating system</w:t>
            </w:r>
            <w:r w:rsidR="00BD5283">
              <w:rPr>
                <w:noProof/>
                <w:webHidden/>
              </w:rPr>
              <w:tab/>
            </w:r>
            <w:r w:rsidR="00BD5283">
              <w:rPr>
                <w:noProof/>
                <w:webHidden/>
              </w:rPr>
              <w:fldChar w:fldCharType="begin"/>
            </w:r>
            <w:r w:rsidR="00BD5283">
              <w:rPr>
                <w:noProof/>
                <w:webHidden/>
              </w:rPr>
              <w:instrText xml:space="preserve"> PAGEREF _Toc499624690 \h </w:instrText>
            </w:r>
            <w:r w:rsidR="00BD5283">
              <w:rPr>
                <w:noProof/>
                <w:webHidden/>
              </w:rPr>
            </w:r>
            <w:r w:rsidR="00BD5283">
              <w:rPr>
                <w:noProof/>
                <w:webHidden/>
              </w:rPr>
              <w:fldChar w:fldCharType="separate"/>
            </w:r>
            <w:r w:rsidR="00BD5283">
              <w:rPr>
                <w:noProof/>
                <w:webHidden/>
              </w:rPr>
              <w:t>15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1" w:history="1">
            <w:r w:rsidR="00BD5283" w:rsidRPr="0019712D">
              <w:rPr>
                <w:rStyle w:val="Hyperlink"/>
                <w:noProof/>
              </w:rPr>
              <w:t>5.5 Disadvantages of differential rating</w:t>
            </w:r>
            <w:r w:rsidR="00BD5283">
              <w:rPr>
                <w:noProof/>
                <w:webHidden/>
              </w:rPr>
              <w:tab/>
            </w:r>
            <w:r w:rsidR="00BD5283">
              <w:rPr>
                <w:noProof/>
                <w:webHidden/>
              </w:rPr>
              <w:fldChar w:fldCharType="begin"/>
            </w:r>
            <w:r w:rsidR="00BD5283">
              <w:rPr>
                <w:noProof/>
                <w:webHidden/>
              </w:rPr>
              <w:instrText xml:space="preserve"> PAGEREF _Toc499624691 \h </w:instrText>
            </w:r>
            <w:r w:rsidR="00BD5283">
              <w:rPr>
                <w:noProof/>
                <w:webHidden/>
              </w:rPr>
            </w:r>
            <w:r w:rsidR="00BD5283">
              <w:rPr>
                <w:noProof/>
                <w:webHidden/>
              </w:rPr>
              <w:fldChar w:fldCharType="separate"/>
            </w:r>
            <w:r w:rsidR="00BD5283">
              <w:rPr>
                <w:noProof/>
                <w:webHidden/>
              </w:rPr>
              <w:t>15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2" w:history="1">
            <w:r w:rsidR="00BD5283" w:rsidRPr="0019712D">
              <w:rPr>
                <w:rStyle w:val="Hyperlink"/>
                <w:noProof/>
              </w:rPr>
              <w:t>Strategy Recommendation</w:t>
            </w:r>
            <w:r w:rsidR="00BD5283">
              <w:rPr>
                <w:noProof/>
                <w:webHidden/>
              </w:rPr>
              <w:tab/>
            </w:r>
            <w:r w:rsidR="00BD5283">
              <w:rPr>
                <w:noProof/>
                <w:webHidden/>
              </w:rPr>
              <w:fldChar w:fldCharType="begin"/>
            </w:r>
            <w:r w:rsidR="00BD5283">
              <w:rPr>
                <w:noProof/>
                <w:webHidden/>
              </w:rPr>
              <w:instrText xml:space="preserve"> PAGEREF _Toc499624692 \h </w:instrText>
            </w:r>
            <w:r w:rsidR="00BD5283">
              <w:rPr>
                <w:noProof/>
                <w:webHidden/>
              </w:rPr>
            </w:r>
            <w:r w:rsidR="00BD5283">
              <w:rPr>
                <w:noProof/>
                <w:webHidden/>
              </w:rPr>
              <w:fldChar w:fldCharType="separate"/>
            </w:r>
            <w:r w:rsidR="00BD5283">
              <w:rPr>
                <w:noProof/>
                <w:webHidden/>
              </w:rPr>
              <w:t>15</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693" w:history="1">
            <w:r w:rsidR="00BD5283" w:rsidRPr="0019712D">
              <w:rPr>
                <w:rStyle w:val="Hyperlink"/>
                <w:noProof/>
                <w:lang w:val="en-US"/>
              </w:rPr>
              <w:t>6.  What differential rates should be considered?</w:t>
            </w:r>
            <w:r w:rsidR="00BD5283">
              <w:rPr>
                <w:noProof/>
                <w:webHidden/>
              </w:rPr>
              <w:tab/>
            </w:r>
            <w:r w:rsidR="00BD5283">
              <w:rPr>
                <w:noProof/>
                <w:webHidden/>
              </w:rPr>
              <w:fldChar w:fldCharType="begin"/>
            </w:r>
            <w:r w:rsidR="00BD5283">
              <w:rPr>
                <w:noProof/>
                <w:webHidden/>
              </w:rPr>
              <w:instrText xml:space="preserve"> PAGEREF _Toc499624693 \h </w:instrText>
            </w:r>
            <w:r w:rsidR="00BD5283">
              <w:rPr>
                <w:noProof/>
                <w:webHidden/>
              </w:rPr>
            </w:r>
            <w:r w:rsidR="00BD5283">
              <w:rPr>
                <w:noProof/>
                <w:webHidden/>
              </w:rPr>
              <w:fldChar w:fldCharType="separate"/>
            </w:r>
            <w:r w:rsidR="00BD5283">
              <w:rPr>
                <w:noProof/>
                <w:webHidden/>
              </w:rPr>
              <w:t>15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4" w:history="1">
            <w:r w:rsidR="00BD5283" w:rsidRPr="0019712D">
              <w:rPr>
                <w:rStyle w:val="Hyperlink"/>
                <w:noProof/>
              </w:rPr>
              <w:t>6.1 General Rates (Residential)</w:t>
            </w:r>
            <w:r w:rsidR="00BD5283">
              <w:rPr>
                <w:noProof/>
                <w:webHidden/>
              </w:rPr>
              <w:tab/>
            </w:r>
            <w:r w:rsidR="00BD5283">
              <w:rPr>
                <w:noProof/>
                <w:webHidden/>
              </w:rPr>
              <w:fldChar w:fldCharType="begin"/>
            </w:r>
            <w:r w:rsidR="00BD5283">
              <w:rPr>
                <w:noProof/>
                <w:webHidden/>
              </w:rPr>
              <w:instrText xml:space="preserve"> PAGEREF _Toc499624694 \h </w:instrText>
            </w:r>
            <w:r w:rsidR="00BD5283">
              <w:rPr>
                <w:noProof/>
                <w:webHidden/>
              </w:rPr>
            </w:r>
            <w:r w:rsidR="00BD5283">
              <w:rPr>
                <w:noProof/>
                <w:webHidden/>
              </w:rPr>
              <w:fldChar w:fldCharType="separate"/>
            </w:r>
            <w:r w:rsidR="00BD5283">
              <w:rPr>
                <w:noProof/>
                <w:webHidden/>
              </w:rPr>
              <w:t>16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5" w:history="1">
            <w:r w:rsidR="00BD5283" w:rsidRPr="0019712D">
              <w:rPr>
                <w:rStyle w:val="Hyperlink"/>
                <w:noProof/>
              </w:rPr>
              <w:t>6.2 Commercial Land</w:t>
            </w:r>
            <w:r w:rsidR="00BD5283">
              <w:rPr>
                <w:noProof/>
                <w:webHidden/>
              </w:rPr>
              <w:tab/>
            </w:r>
            <w:r w:rsidR="00BD5283">
              <w:rPr>
                <w:noProof/>
                <w:webHidden/>
              </w:rPr>
              <w:fldChar w:fldCharType="begin"/>
            </w:r>
            <w:r w:rsidR="00BD5283">
              <w:rPr>
                <w:noProof/>
                <w:webHidden/>
              </w:rPr>
              <w:instrText xml:space="preserve"> PAGEREF _Toc499624695 \h </w:instrText>
            </w:r>
            <w:r w:rsidR="00BD5283">
              <w:rPr>
                <w:noProof/>
                <w:webHidden/>
              </w:rPr>
            </w:r>
            <w:r w:rsidR="00BD5283">
              <w:rPr>
                <w:noProof/>
                <w:webHidden/>
              </w:rPr>
              <w:fldChar w:fldCharType="separate"/>
            </w:r>
            <w:r w:rsidR="00BD5283">
              <w:rPr>
                <w:noProof/>
                <w:webHidden/>
              </w:rPr>
              <w:t>16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6" w:history="1">
            <w:r w:rsidR="00BD5283" w:rsidRPr="0019712D">
              <w:rPr>
                <w:rStyle w:val="Hyperlink"/>
                <w:noProof/>
              </w:rPr>
              <w:t>6.3 Industrial Land</w:t>
            </w:r>
            <w:r w:rsidR="00BD5283">
              <w:rPr>
                <w:noProof/>
                <w:webHidden/>
              </w:rPr>
              <w:tab/>
            </w:r>
            <w:r w:rsidR="00BD5283">
              <w:rPr>
                <w:noProof/>
                <w:webHidden/>
              </w:rPr>
              <w:fldChar w:fldCharType="begin"/>
            </w:r>
            <w:r w:rsidR="00BD5283">
              <w:rPr>
                <w:noProof/>
                <w:webHidden/>
              </w:rPr>
              <w:instrText xml:space="preserve"> PAGEREF _Toc499624696 \h </w:instrText>
            </w:r>
            <w:r w:rsidR="00BD5283">
              <w:rPr>
                <w:noProof/>
                <w:webHidden/>
              </w:rPr>
            </w:r>
            <w:r w:rsidR="00BD5283">
              <w:rPr>
                <w:noProof/>
                <w:webHidden/>
              </w:rPr>
              <w:fldChar w:fldCharType="separate"/>
            </w:r>
            <w:r w:rsidR="00BD5283">
              <w:rPr>
                <w:noProof/>
                <w:webHidden/>
              </w:rPr>
              <w:t>16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7" w:history="1">
            <w:r w:rsidR="00BD5283" w:rsidRPr="0019712D">
              <w:rPr>
                <w:rStyle w:val="Hyperlink"/>
                <w:noProof/>
              </w:rPr>
              <w:t>6.4 Derelict Land</w:t>
            </w:r>
            <w:r w:rsidR="00BD5283">
              <w:rPr>
                <w:noProof/>
                <w:webHidden/>
              </w:rPr>
              <w:tab/>
            </w:r>
            <w:r w:rsidR="00BD5283">
              <w:rPr>
                <w:noProof/>
                <w:webHidden/>
              </w:rPr>
              <w:fldChar w:fldCharType="begin"/>
            </w:r>
            <w:r w:rsidR="00BD5283">
              <w:rPr>
                <w:noProof/>
                <w:webHidden/>
              </w:rPr>
              <w:instrText xml:space="preserve"> PAGEREF _Toc499624697 \h </w:instrText>
            </w:r>
            <w:r w:rsidR="00BD5283">
              <w:rPr>
                <w:noProof/>
                <w:webHidden/>
              </w:rPr>
            </w:r>
            <w:r w:rsidR="00BD5283">
              <w:rPr>
                <w:noProof/>
                <w:webHidden/>
              </w:rPr>
              <w:fldChar w:fldCharType="separate"/>
            </w:r>
            <w:r w:rsidR="00BD5283">
              <w:rPr>
                <w:noProof/>
                <w:webHidden/>
              </w:rPr>
              <w:t>16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8" w:history="1">
            <w:r w:rsidR="00BD5283" w:rsidRPr="0019712D">
              <w:rPr>
                <w:rStyle w:val="Hyperlink"/>
                <w:noProof/>
              </w:rPr>
              <w:t>6.5 Other</w:t>
            </w:r>
            <w:r w:rsidR="00BD5283">
              <w:rPr>
                <w:noProof/>
                <w:webHidden/>
              </w:rPr>
              <w:tab/>
            </w:r>
            <w:r w:rsidR="00BD5283">
              <w:rPr>
                <w:noProof/>
                <w:webHidden/>
              </w:rPr>
              <w:fldChar w:fldCharType="begin"/>
            </w:r>
            <w:r w:rsidR="00BD5283">
              <w:rPr>
                <w:noProof/>
                <w:webHidden/>
              </w:rPr>
              <w:instrText xml:space="preserve"> PAGEREF _Toc499624698 \h </w:instrText>
            </w:r>
            <w:r w:rsidR="00BD5283">
              <w:rPr>
                <w:noProof/>
                <w:webHidden/>
              </w:rPr>
            </w:r>
            <w:r w:rsidR="00BD5283">
              <w:rPr>
                <w:noProof/>
                <w:webHidden/>
              </w:rPr>
              <w:fldChar w:fldCharType="separate"/>
            </w:r>
            <w:r w:rsidR="00BD5283">
              <w:rPr>
                <w:noProof/>
                <w:webHidden/>
              </w:rPr>
              <w:t>17</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699" w:history="1">
            <w:r w:rsidR="00BD5283" w:rsidRPr="0019712D">
              <w:rPr>
                <w:rStyle w:val="Hyperlink"/>
                <w:i/>
                <w:noProof/>
              </w:rPr>
              <w:t>Cultural and Recreational Lands</w:t>
            </w:r>
            <w:r w:rsidR="00BD5283">
              <w:rPr>
                <w:noProof/>
                <w:webHidden/>
              </w:rPr>
              <w:tab/>
            </w:r>
            <w:r w:rsidR="00BD5283">
              <w:rPr>
                <w:noProof/>
                <w:webHidden/>
              </w:rPr>
              <w:fldChar w:fldCharType="begin"/>
            </w:r>
            <w:r w:rsidR="00BD5283">
              <w:rPr>
                <w:noProof/>
                <w:webHidden/>
              </w:rPr>
              <w:instrText xml:space="preserve"> PAGEREF _Toc499624699 \h </w:instrText>
            </w:r>
            <w:r w:rsidR="00BD5283">
              <w:rPr>
                <w:noProof/>
                <w:webHidden/>
              </w:rPr>
            </w:r>
            <w:r w:rsidR="00BD5283">
              <w:rPr>
                <w:noProof/>
                <w:webHidden/>
              </w:rPr>
              <w:fldChar w:fldCharType="separate"/>
            </w:r>
            <w:r w:rsidR="00BD5283">
              <w:rPr>
                <w:noProof/>
                <w:webHidden/>
              </w:rPr>
              <w:t>17</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00" w:history="1">
            <w:r w:rsidR="00BD5283" w:rsidRPr="0019712D">
              <w:rPr>
                <w:rStyle w:val="Hyperlink"/>
                <w:i/>
                <w:noProof/>
              </w:rPr>
              <w:t>Retirement Villages</w:t>
            </w:r>
            <w:r w:rsidR="00BD5283">
              <w:rPr>
                <w:noProof/>
                <w:webHidden/>
              </w:rPr>
              <w:tab/>
            </w:r>
            <w:r w:rsidR="00BD5283">
              <w:rPr>
                <w:noProof/>
                <w:webHidden/>
              </w:rPr>
              <w:fldChar w:fldCharType="begin"/>
            </w:r>
            <w:r w:rsidR="00BD5283">
              <w:rPr>
                <w:noProof/>
                <w:webHidden/>
              </w:rPr>
              <w:instrText xml:space="preserve"> PAGEREF _Toc499624700 \h </w:instrText>
            </w:r>
            <w:r w:rsidR="00BD5283">
              <w:rPr>
                <w:noProof/>
                <w:webHidden/>
              </w:rPr>
            </w:r>
            <w:r w:rsidR="00BD5283">
              <w:rPr>
                <w:noProof/>
                <w:webHidden/>
              </w:rPr>
              <w:fldChar w:fldCharType="separate"/>
            </w:r>
            <w:r w:rsidR="00BD5283">
              <w:rPr>
                <w:noProof/>
                <w:webHidden/>
              </w:rPr>
              <w:t>17</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01"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_Toc499624701 \h </w:instrText>
            </w:r>
            <w:r w:rsidR="00BD5283">
              <w:rPr>
                <w:noProof/>
                <w:webHidden/>
              </w:rPr>
            </w:r>
            <w:r w:rsidR="00BD5283">
              <w:rPr>
                <w:noProof/>
                <w:webHidden/>
              </w:rPr>
              <w:fldChar w:fldCharType="separate"/>
            </w:r>
            <w:r w:rsidR="00BD5283">
              <w:rPr>
                <w:noProof/>
                <w:webHidden/>
              </w:rPr>
              <w:t>18</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702" w:history="1">
            <w:r w:rsidR="00BD5283" w:rsidRPr="0019712D">
              <w:rPr>
                <w:rStyle w:val="Hyperlink"/>
                <w:noProof/>
                <w:lang w:val="en-US"/>
              </w:rPr>
              <w:t>7.  Understanding the impacts of Council revaluations</w:t>
            </w:r>
            <w:r w:rsidR="00BD5283">
              <w:rPr>
                <w:noProof/>
                <w:webHidden/>
              </w:rPr>
              <w:tab/>
            </w:r>
            <w:r w:rsidR="00BD5283">
              <w:rPr>
                <w:noProof/>
                <w:webHidden/>
              </w:rPr>
              <w:fldChar w:fldCharType="begin"/>
            </w:r>
            <w:r w:rsidR="00BD5283">
              <w:rPr>
                <w:noProof/>
                <w:webHidden/>
              </w:rPr>
              <w:instrText xml:space="preserve"> PAGEREF _Toc499624702 \h </w:instrText>
            </w:r>
            <w:r w:rsidR="00BD5283">
              <w:rPr>
                <w:noProof/>
                <w:webHidden/>
              </w:rPr>
            </w:r>
            <w:r w:rsidR="00BD5283">
              <w:rPr>
                <w:noProof/>
                <w:webHidden/>
              </w:rPr>
              <w:fldChar w:fldCharType="separate"/>
            </w:r>
            <w:r w:rsidR="00BD5283">
              <w:rPr>
                <w:noProof/>
                <w:webHidden/>
              </w:rPr>
              <w:t>18</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03" w:history="1">
            <w:r w:rsidR="00BD5283" w:rsidRPr="0019712D">
              <w:rPr>
                <w:rStyle w:val="Hyperlink"/>
                <w:noProof/>
              </w:rPr>
              <w:t>No windfall gain</w:t>
            </w:r>
            <w:r w:rsidR="00BD5283">
              <w:rPr>
                <w:noProof/>
                <w:webHidden/>
              </w:rPr>
              <w:tab/>
            </w:r>
            <w:r w:rsidR="00BD5283">
              <w:rPr>
                <w:noProof/>
                <w:webHidden/>
              </w:rPr>
              <w:fldChar w:fldCharType="begin"/>
            </w:r>
            <w:r w:rsidR="00BD5283">
              <w:rPr>
                <w:noProof/>
                <w:webHidden/>
              </w:rPr>
              <w:instrText xml:space="preserve"> PAGEREF _Toc499624703 \h </w:instrText>
            </w:r>
            <w:r w:rsidR="00BD5283">
              <w:rPr>
                <w:noProof/>
                <w:webHidden/>
              </w:rPr>
            </w:r>
            <w:r w:rsidR="00BD5283">
              <w:rPr>
                <w:noProof/>
                <w:webHidden/>
              </w:rPr>
              <w:fldChar w:fldCharType="separate"/>
            </w:r>
            <w:r w:rsidR="00BD5283">
              <w:rPr>
                <w:noProof/>
                <w:webHidden/>
              </w:rPr>
              <w:t>18</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04" w:history="1">
            <w:r w:rsidR="00BD5283" w:rsidRPr="0019712D">
              <w:rPr>
                <w:rStyle w:val="Hyperlink"/>
                <w:noProof/>
              </w:rPr>
              <w:t>Objections to Property Valuation</w:t>
            </w:r>
            <w:r w:rsidR="00BD5283">
              <w:rPr>
                <w:noProof/>
                <w:webHidden/>
              </w:rPr>
              <w:tab/>
            </w:r>
            <w:r w:rsidR="00BD5283">
              <w:rPr>
                <w:noProof/>
                <w:webHidden/>
              </w:rPr>
              <w:fldChar w:fldCharType="begin"/>
            </w:r>
            <w:r w:rsidR="00BD5283">
              <w:rPr>
                <w:noProof/>
                <w:webHidden/>
              </w:rPr>
              <w:instrText xml:space="preserve"> PAGEREF _Toc499624704 \h </w:instrText>
            </w:r>
            <w:r w:rsidR="00BD5283">
              <w:rPr>
                <w:noProof/>
                <w:webHidden/>
              </w:rPr>
            </w:r>
            <w:r w:rsidR="00BD5283">
              <w:rPr>
                <w:noProof/>
                <w:webHidden/>
              </w:rPr>
              <w:fldChar w:fldCharType="separate"/>
            </w:r>
            <w:r w:rsidR="00BD5283">
              <w:rPr>
                <w:noProof/>
                <w:webHidden/>
              </w:rPr>
              <w:t>21</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05"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_Toc499624705 \h </w:instrText>
            </w:r>
            <w:r w:rsidR="00BD5283">
              <w:rPr>
                <w:noProof/>
                <w:webHidden/>
              </w:rPr>
            </w:r>
            <w:r w:rsidR="00BD5283">
              <w:rPr>
                <w:noProof/>
                <w:webHidden/>
              </w:rPr>
              <w:fldChar w:fldCharType="separate"/>
            </w:r>
            <w:r w:rsidR="00BD5283">
              <w:rPr>
                <w:noProof/>
                <w:webHidden/>
              </w:rPr>
              <w:t>21</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706" w:history="1">
            <w:r w:rsidR="00BD5283" w:rsidRPr="0019712D">
              <w:rPr>
                <w:rStyle w:val="Hyperlink"/>
                <w:noProof/>
              </w:rPr>
              <w:t>8.  Special rates and charges</w:t>
            </w:r>
            <w:r w:rsidR="00BD5283">
              <w:rPr>
                <w:noProof/>
                <w:webHidden/>
              </w:rPr>
              <w:tab/>
            </w:r>
            <w:r w:rsidR="00BD5283">
              <w:rPr>
                <w:noProof/>
                <w:webHidden/>
              </w:rPr>
              <w:fldChar w:fldCharType="begin"/>
            </w:r>
            <w:r w:rsidR="00BD5283">
              <w:rPr>
                <w:noProof/>
                <w:webHidden/>
              </w:rPr>
              <w:instrText xml:space="preserve"> PAGEREF _Toc499624706 \h </w:instrText>
            </w:r>
            <w:r w:rsidR="00BD5283">
              <w:rPr>
                <w:noProof/>
                <w:webHidden/>
              </w:rPr>
            </w:r>
            <w:r w:rsidR="00BD5283">
              <w:rPr>
                <w:noProof/>
                <w:webHidden/>
              </w:rPr>
              <w:fldChar w:fldCharType="separate"/>
            </w:r>
            <w:r w:rsidR="00BD5283">
              <w:rPr>
                <w:noProof/>
                <w:webHidden/>
              </w:rPr>
              <w:t>21</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07"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_Toc499624707 \h </w:instrText>
            </w:r>
            <w:r w:rsidR="00BD5283">
              <w:rPr>
                <w:noProof/>
                <w:webHidden/>
              </w:rPr>
            </w:r>
            <w:r w:rsidR="00BD5283">
              <w:rPr>
                <w:noProof/>
                <w:webHidden/>
              </w:rPr>
              <w:fldChar w:fldCharType="separate"/>
            </w:r>
            <w:r w:rsidR="00BD5283">
              <w:rPr>
                <w:noProof/>
                <w:webHidden/>
              </w:rPr>
              <w:t>22</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708" w:history="1">
            <w:r w:rsidR="00BD5283" w:rsidRPr="0019712D">
              <w:rPr>
                <w:rStyle w:val="Hyperlink"/>
                <w:noProof/>
              </w:rPr>
              <w:t>9.  Municipal charge</w:t>
            </w:r>
            <w:r w:rsidR="00BD5283">
              <w:rPr>
                <w:noProof/>
                <w:webHidden/>
              </w:rPr>
              <w:tab/>
            </w:r>
            <w:r w:rsidR="00BD5283">
              <w:rPr>
                <w:noProof/>
                <w:webHidden/>
              </w:rPr>
              <w:fldChar w:fldCharType="begin"/>
            </w:r>
            <w:r w:rsidR="00BD5283">
              <w:rPr>
                <w:noProof/>
                <w:webHidden/>
              </w:rPr>
              <w:instrText xml:space="preserve"> PAGEREF _Toc499624708 \h </w:instrText>
            </w:r>
            <w:r w:rsidR="00BD5283">
              <w:rPr>
                <w:noProof/>
                <w:webHidden/>
              </w:rPr>
            </w:r>
            <w:r w:rsidR="00BD5283">
              <w:rPr>
                <w:noProof/>
                <w:webHidden/>
              </w:rPr>
              <w:fldChar w:fldCharType="separate"/>
            </w:r>
            <w:r w:rsidR="00BD5283">
              <w:rPr>
                <w:noProof/>
                <w:webHidden/>
              </w:rPr>
              <w:t>22</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09"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_Toc499624709 \h </w:instrText>
            </w:r>
            <w:r w:rsidR="00BD5283">
              <w:rPr>
                <w:noProof/>
                <w:webHidden/>
              </w:rPr>
            </w:r>
            <w:r w:rsidR="00BD5283">
              <w:rPr>
                <w:noProof/>
                <w:webHidden/>
              </w:rPr>
              <w:fldChar w:fldCharType="separate"/>
            </w:r>
            <w:r w:rsidR="00BD5283">
              <w:rPr>
                <w:noProof/>
                <w:webHidden/>
              </w:rPr>
              <w:t>22</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710" w:history="1">
            <w:r w:rsidR="00BD5283" w:rsidRPr="0019712D">
              <w:rPr>
                <w:rStyle w:val="Hyperlink"/>
                <w:noProof/>
              </w:rPr>
              <w:t>10.  Service rates and charges</w:t>
            </w:r>
            <w:r w:rsidR="00BD5283">
              <w:rPr>
                <w:noProof/>
                <w:webHidden/>
              </w:rPr>
              <w:tab/>
            </w:r>
            <w:r w:rsidR="00BD5283">
              <w:rPr>
                <w:noProof/>
                <w:webHidden/>
              </w:rPr>
              <w:fldChar w:fldCharType="begin"/>
            </w:r>
            <w:r w:rsidR="00BD5283">
              <w:rPr>
                <w:noProof/>
                <w:webHidden/>
              </w:rPr>
              <w:instrText xml:space="preserve"> PAGEREF _Toc499624710 \h </w:instrText>
            </w:r>
            <w:r w:rsidR="00BD5283">
              <w:rPr>
                <w:noProof/>
                <w:webHidden/>
              </w:rPr>
            </w:r>
            <w:r w:rsidR="00BD5283">
              <w:rPr>
                <w:noProof/>
                <w:webHidden/>
              </w:rPr>
              <w:fldChar w:fldCharType="separate"/>
            </w:r>
            <w:r w:rsidR="00BD5283">
              <w:rPr>
                <w:noProof/>
                <w:webHidden/>
              </w:rPr>
              <w:t>22</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11"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_Toc499624711 \h </w:instrText>
            </w:r>
            <w:r w:rsidR="00BD5283">
              <w:rPr>
                <w:noProof/>
                <w:webHidden/>
              </w:rPr>
            </w:r>
            <w:r w:rsidR="00BD5283">
              <w:rPr>
                <w:noProof/>
                <w:webHidden/>
              </w:rPr>
              <w:fldChar w:fldCharType="separate"/>
            </w:r>
            <w:r w:rsidR="00BD5283">
              <w:rPr>
                <w:noProof/>
                <w:webHidden/>
              </w:rPr>
              <w:t>23</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712" w:history="1">
            <w:r w:rsidR="00BD5283" w:rsidRPr="0019712D">
              <w:rPr>
                <w:rStyle w:val="Hyperlink"/>
                <w:noProof/>
              </w:rPr>
              <w:t>11.  Rebates</w:t>
            </w:r>
            <w:r w:rsidR="00BD5283">
              <w:rPr>
                <w:noProof/>
                <w:webHidden/>
              </w:rPr>
              <w:tab/>
            </w:r>
            <w:r w:rsidR="00BD5283">
              <w:rPr>
                <w:noProof/>
                <w:webHidden/>
              </w:rPr>
              <w:fldChar w:fldCharType="begin"/>
            </w:r>
            <w:r w:rsidR="00BD5283">
              <w:rPr>
                <w:noProof/>
                <w:webHidden/>
              </w:rPr>
              <w:instrText xml:space="preserve"> PAGEREF _Toc499624712 \h </w:instrText>
            </w:r>
            <w:r w:rsidR="00BD5283">
              <w:rPr>
                <w:noProof/>
                <w:webHidden/>
              </w:rPr>
            </w:r>
            <w:r w:rsidR="00BD5283">
              <w:rPr>
                <w:noProof/>
                <w:webHidden/>
              </w:rPr>
              <w:fldChar w:fldCharType="separate"/>
            </w:r>
            <w:r w:rsidR="00BD5283">
              <w:rPr>
                <w:noProof/>
                <w:webHidden/>
              </w:rPr>
              <w:t>23</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13" w:history="1">
            <w:r w:rsidR="00BD5283" w:rsidRPr="0019712D">
              <w:rPr>
                <w:rStyle w:val="Hyperlink"/>
                <w:noProof/>
              </w:rPr>
              <w:t>Rebates – LGA Section 169</w:t>
            </w:r>
            <w:r w:rsidR="00BD5283">
              <w:rPr>
                <w:noProof/>
                <w:webHidden/>
              </w:rPr>
              <w:tab/>
            </w:r>
            <w:r w:rsidR="00BD5283">
              <w:rPr>
                <w:noProof/>
                <w:webHidden/>
              </w:rPr>
              <w:fldChar w:fldCharType="begin"/>
            </w:r>
            <w:r w:rsidR="00BD5283">
              <w:rPr>
                <w:noProof/>
                <w:webHidden/>
              </w:rPr>
              <w:instrText xml:space="preserve"> PAGEREF _Toc499624713 \h </w:instrText>
            </w:r>
            <w:r w:rsidR="00BD5283">
              <w:rPr>
                <w:noProof/>
                <w:webHidden/>
              </w:rPr>
            </w:r>
            <w:r w:rsidR="00BD5283">
              <w:rPr>
                <w:noProof/>
                <w:webHidden/>
              </w:rPr>
              <w:fldChar w:fldCharType="separate"/>
            </w:r>
            <w:r w:rsidR="00BD5283">
              <w:rPr>
                <w:noProof/>
                <w:webHidden/>
              </w:rPr>
              <w:t>23</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14" w:history="1">
            <w:r w:rsidR="00BD5283" w:rsidRPr="0019712D">
              <w:rPr>
                <w:rStyle w:val="Hyperlink"/>
                <w:noProof/>
              </w:rPr>
              <w:t>Community Grants</w:t>
            </w:r>
            <w:r w:rsidR="00BD5283">
              <w:rPr>
                <w:noProof/>
                <w:webHidden/>
              </w:rPr>
              <w:tab/>
            </w:r>
            <w:r w:rsidR="00BD5283">
              <w:rPr>
                <w:noProof/>
                <w:webHidden/>
              </w:rPr>
              <w:fldChar w:fldCharType="begin"/>
            </w:r>
            <w:r w:rsidR="00BD5283">
              <w:rPr>
                <w:noProof/>
                <w:webHidden/>
              </w:rPr>
              <w:instrText xml:space="preserve"> PAGEREF _Toc499624714 \h </w:instrText>
            </w:r>
            <w:r w:rsidR="00BD5283">
              <w:rPr>
                <w:noProof/>
                <w:webHidden/>
              </w:rPr>
            </w:r>
            <w:r w:rsidR="00BD5283">
              <w:rPr>
                <w:noProof/>
                <w:webHidden/>
              </w:rPr>
              <w:fldChar w:fldCharType="separate"/>
            </w:r>
            <w:r w:rsidR="00BD5283">
              <w:rPr>
                <w:noProof/>
                <w:webHidden/>
              </w:rPr>
              <w:t>23</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15" w:history="1">
            <w:r w:rsidR="00BD5283" w:rsidRPr="0019712D">
              <w:rPr>
                <w:rStyle w:val="Hyperlink"/>
                <w:noProof/>
              </w:rPr>
              <w:t>Pensioner Rebates</w:t>
            </w:r>
            <w:r w:rsidR="00BD5283">
              <w:rPr>
                <w:noProof/>
                <w:webHidden/>
              </w:rPr>
              <w:tab/>
            </w:r>
            <w:r w:rsidR="00BD5283">
              <w:rPr>
                <w:noProof/>
                <w:webHidden/>
              </w:rPr>
              <w:fldChar w:fldCharType="begin"/>
            </w:r>
            <w:r w:rsidR="00BD5283">
              <w:rPr>
                <w:noProof/>
                <w:webHidden/>
              </w:rPr>
              <w:instrText xml:space="preserve"> PAGEREF _Toc499624715 \h </w:instrText>
            </w:r>
            <w:r w:rsidR="00BD5283">
              <w:rPr>
                <w:noProof/>
                <w:webHidden/>
              </w:rPr>
            </w:r>
            <w:r w:rsidR="00BD5283">
              <w:rPr>
                <w:noProof/>
                <w:webHidden/>
              </w:rPr>
              <w:fldChar w:fldCharType="separate"/>
            </w:r>
            <w:r w:rsidR="00BD5283">
              <w:rPr>
                <w:noProof/>
                <w:webHidden/>
              </w:rPr>
              <w:t>24</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16" w:history="1">
            <w:r w:rsidR="00BD5283" w:rsidRPr="0019712D">
              <w:rPr>
                <w:rStyle w:val="Hyperlink"/>
                <w:noProof/>
              </w:rPr>
              <w:t>Waiver of Rates by application – financial hardship</w:t>
            </w:r>
            <w:r w:rsidR="00BD5283">
              <w:rPr>
                <w:noProof/>
                <w:webHidden/>
              </w:rPr>
              <w:tab/>
            </w:r>
            <w:r w:rsidR="00BD5283">
              <w:rPr>
                <w:noProof/>
                <w:webHidden/>
              </w:rPr>
              <w:fldChar w:fldCharType="begin"/>
            </w:r>
            <w:r w:rsidR="00BD5283">
              <w:rPr>
                <w:noProof/>
                <w:webHidden/>
              </w:rPr>
              <w:instrText xml:space="preserve"> PAGEREF _Toc499624716 \h </w:instrText>
            </w:r>
            <w:r w:rsidR="00BD5283">
              <w:rPr>
                <w:noProof/>
                <w:webHidden/>
              </w:rPr>
            </w:r>
            <w:r w:rsidR="00BD5283">
              <w:rPr>
                <w:noProof/>
                <w:webHidden/>
              </w:rPr>
              <w:fldChar w:fldCharType="separate"/>
            </w:r>
            <w:r w:rsidR="00BD5283">
              <w:rPr>
                <w:noProof/>
                <w:webHidden/>
              </w:rPr>
              <w:t>24</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17" w:history="1">
            <w:r w:rsidR="00BD5283" w:rsidRPr="0019712D">
              <w:rPr>
                <w:rStyle w:val="Hyperlink"/>
                <w:noProof/>
              </w:rPr>
              <w:t>Exceptions from Rating</w:t>
            </w:r>
            <w:r w:rsidR="00BD5283">
              <w:rPr>
                <w:noProof/>
                <w:webHidden/>
              </w:rPr>
              <w:tab/>
            </w:r>
            <w:r w:rsidR="00BD5283">
              <w:rPr>
                <w:noProof/>
                <w:webHidden/>
              </w:rPr>
              <w:fldChar w:fldCharType="begin"/>
            </w:r>
            <w:r w:rsidR="00BD5283">
              <w:rPr>
                <w:noProof/>
                <w:webHidden/>
              </w:rPr>
              <w:instrText xml:space="preserve"> PAGEREF _Toc499624717 \h </w:instrText>
            </w:r>
            <w:r w:rsidR="00BD5283">
              <w:rPr>
                <w:noProof/>
                <w:webHidden/>
              </w:rPr>
            </w:r>
            <w:r w:rsidR="00BD5283">
              <w:rPr>
                <w:noProof/>
                <w:webHidden/>
              </w:rPr>
              <w:fldChar w:fldCharType="separate"/>
            </w:r>
            <w:r w:rsidR="00BD5283">
              <w:rPr>
                <w:noProof/>
                <w:webHidden/>
              </w:rPr>
              <w:t>24</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18"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_Toc499624718 \h </w:instrText>
            </w:r>
            <w:r w:rsidR="00BD5283">
              <w:rPr>
                <w:noProof/>
                <w:webHidden/>
              </w:rPr>
            </w:r>
            <w:r w:rsidR="00BD5283">
              <w:rPr>
                <w:noProof/>
                <w:webHidden/>
              </w:rPr>
              <w:fldChar w:fldCharType="separate"/>
            </w:r>
            <w:r w:rsidR="00BD5283">
              <w:rPr>
                <w:noProof/>
                <w:webHidden/>
              </w:rPr>
              <w:t>24</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719" w:history="1">
            <w:r w:rsidR="00BD5283" w:rsidRPr="0019712D">
              <w:rPr>
                <w:rStyle w:val="Hyperlink"/>
                <w:noProof/>
                <w:lang w:val="en-US"/>
              </w:rPr>
              <w:t>12.  Rate payment collections</w:t>
            </w:r>
            <w:r w:rsidR="00BD5283">
              <w:rPr>
                <w:noProof/>
                <w:webHidden/>
              </w:rPr>
              <w:tab/>
            </w:r>
            <w:r w:rsidR="00BD5283">
              <w:rPr>
                <w:noProof/>
                <w:webHidden/>
              </w:rPr>
              <w:fldChar w:fldCharType="begin"/>
            </w:r>
            <w:r w:rsidR="00BD5283">
              <w:rPr>
                <w:noProof/>
                <w:webHidden/>
              </w:rPr>
              <w:instrText xml:space="preserve"> PAGEREF _Toc499624719 \h </w:instrText>
            </w:r>
            <w:r w:rsidR="00BD5283">
              <w:rPr>
                <w:noProof/>
                <w:webHidden/>
              </w:rPr>
            </w:r>
            <w:r w:rsidR="00BD5283">
              <w:rPr>
                <w:noProof/>
                <w:webHidden/>
              </w:rPr>
              <w:fldChar w:fldCharType="separate"/>
            </w:r>
            <w:r w:rsidR="00BD5283">
              <w:rPr>
                <w:noProof/>
                <w:webHidden/>
              </w:rPr>
              <w:t>25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0" w:history="1">
            <w:r w:rsidR="00BD5283" w:rsidRPr="0019712D">
              <w:rPr>
                <w:rStyle w:val="Hyperlink"/>
                <w:noProof/>
              </w:rPr>
              <w:t>Liability to Pay Rates</w:t>
            </w:r>
            <w:r w:rsidR="00BD5283">
              <w:rPr>
                <w:noProof/>
                <w:webHidden/>
              </w:rPr>
              <w:tab/>
            </w:r>
            <w:r w:rsidR="00BD5283">
              <w:rPr>
                <w:noProof/>
                <w:webHidden/>
              </w:rPr>
              <w:fldChar w:fldCharType="begin"/>
            </w:r>
            <w:r w:rsidR="00BD5283">
              <w:rPr>
                <w:noProof/>
                <w:webHidden/>
              </w:rPr>
              <w:instrText xml:space="preserve"> PAGEREF _Toc499624720 \h </w:instrText>
            </w:r>
            <w:r w:rsidR="00BD5283">
              <w:rPr>
                <w:noProof/>
                <w:webHidden/>
              </w:rPr>
            </w:r>
            <w:r w:rsidR="00BD5283">
              <w:rPr>
                <w:noProof/>
                <w:webHidden/>
              </w:rPr>
              <w:fldChar w:fldCharType="separate"/>
            </w:r>
            <w:r w:rsidR="00BD5283">
              <w:rPr>
                <w:noProof/>
                <w:webHidden/>
              </w:rPr>
              <w:t>25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1" w:history="1">
            <w:r w:rsidR="00BD5283" w:rsidRPr="0019712D">
              <w:rPr>
                <w:rStyle w:val="Hyperlink"/>
                <w:noProof/>
              </w:rPr>
              <w:t>Current Payment Dates for Rates</w:t>
            </w:r>
            <w:r w:rsidR="00BD5283">
              <w:rPr>
                <w:noProof/>
                <w:webHidden/>
              </w:rPr>
              <w:tab/>
            </w:r>
            <w:r w:rsidR="00BD5283">
              <w:rPr>
                <w:noProof/>
                <w:webHidden/>
              </w:rPr>
              <w:fldChar w:fldCharType="begin"/>
            </w:r>
            <w:r w:rsidR="00BD5283">
              <w:rPr>
                <w:noProof/>
                <w:webHidden/>
              </w:rPr>
              <w:instrText xml:space="preserve"> PAGEREF _Toc499624721 \h </w:instrText>
            </w:r>
            <w:r w:rsidR="00BD5283">
              <w:rPr>
                <w:noProof/>
                <w:webHidden/>
              </w:rPr>
            </w:r>
            <w:r w:rsidR="00BD5283">
              <w:rPr>
                <w:noProof/>
                <w:webHidden/>
              </w:rPr>
              <w:fldChar w:fldCharType="separate"/>
            </w:r>
            <w:r w:rsidR="00BD5283">
              <w:rPr>
                <w:noProof/>
                <w:webHidden/>
              </w:rPr>
              <w:t>25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2"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_Toc499624722 \h </w:instrText>
            </w:r>
            <w:r w:rsidR="00BD5283">
              <w:rPr>
                <w:noProof/>
                <w:webHidden/>
              </w:rPr>
            </w:r>
            <w:r w:rsidR="00BD5283">
              <w:rPr>
                <w:noProof/>
                <w:webHidden/>
              </w:rPr>
              <w:fldChar w:fldCharType="separate"/>
            </w:r>
            <w:r w:rsidR="00BD5283">
              <w:rPr>
                <w:noProof/>
                <w:webHidden/>
              </w:rPr>
              <w:t>25</w:t>
            </w:r>
            <w:r w:rsidR="00BD5283">
              <w:rPr>
                <w:noProof/>
                <w:webHidden/>
              </w:rPr>
              <w:fldChar w:fldCharType="end"/>
            </w:r>
          </w:hyperlink>
        </w:p>
        <w:p w:rsidR="00BD5283" w:rsidRDefault="00A701D1">
          <w:pPr>
            <w:pStyle w:val="TOC1"/>
            <w:tabs>
              <w:tab w:val="right" w:leader="dot" w:pos="10456"/>
            </w:tabs>
            <w:rPr>
              <w:rFonts w:asciiTheme="minorHAnsi" w:eastAsiaTheme="minorEastAsia" w:hAnsiTheme="minorHAnsi" w:cstheme="minorBidi"/>
              <w:noProof/>
              <w:lang w:eastAsia="en-AU"/>
            </w:rPr>
          </w:pPr>
          <w:hyperlink w:anchor="_Toc499624723" w:history="1">
            <w:r w:rsidR="00BD5283" w:rsidRPr="0019712D">
              <w:rPr>
                <w:rStyle w:val="Hyperlink"/>
                <w:noProof/>
              </w:rPr>
              <w:t>13.  State Government Levies</w:t>
            </w:r>
            <w:r w:rsidR="00BD5283">
              <w:rPr>
                <w:noProof/>
                <w:webHidden/>
              </w:rPr>
              <w:tab/>
            </w:r>
            <w:r w:rsidR="00BD5283">
              <w:rPr>
                <w:noProof/>
                <w:webHidden/>
              </w:rPr>
              <w:fldChar w:fldCharType="begin"/>
            </w:r>
            <w:r w:rsidR="00BD5283">
              <w:rPr>
                <w:noProof/>
                <w:webHidden/>
              </w:rPr>
              <w:instrText xml:space="preserve"> PAGEREF _Toc499624723 \h </w:instrText>
            </w:r>
            <w:r w:rsidR="00BD5283">
              <w:rPr>
                <w:noProof/>
                <w:webHidden/>
              </w:rPr>
            </w:r>
            <w:r w:rsidR="00BD5283">
              <w:rPr>
                <w:noProof/>
                <w:webHidden/>
              </w:rPr>
              <w:fldChar w:fldCharType="separate"/>
            </w:r>
            <w:r w:rsidR="00BD5283">
              <w:rPr>
                <w:noProof/>
                <w:webHidden/>
              </w:rPr>
              <w:t>25</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4" w:history="1">
            <w:r w:rsidR="00BD5283" w:rsidRPr="0019712D">
              <w:rPr>
                <w:rStyle w:val="Hyperlink"/>
                <w:noProof/>
              </w:rPr>
              <w:t>Who pays the Fire Services Levy?</w:t>
            </w:r>
            <w:r w:rsidR="00BD5283">
              <w:rPr>
                <w:noProof/>
                <w:webHidden/>
              </w:rPr>
              <w:tab/>
            </w:r>
            <w:r w:rsidR="00BD5283">
              <w:rPr>
                <w:noProof/>
                <w:webHidden/>
              </w:rPr>
              <w:fldChar w:fldCharType="begin"/>
            </w:r>
            <w:r w:rsidR="00BD5283">
              <w:rPr>
                <w:noProof/>
                <w:webHidden/>
              </w:rPr>
              <w:instrText xml:space="preserve"> PAGEREF _Toc499624724 \h </w:instrText>
            </w:r>
            <w:r w:rsidR="00BD5283">
              <w:rPr>
                <w:noProof/>
                <w:webHidden/>
              </w:rPr>
            </w:r>
            <w:r w:rsidR="00BD5283">
              <w:rPr>
                <w:noProof/>
                <w:webHidden/>
              </w:rPr>
              <w:fldChar w:fldCharType="separate"/>
            </w:r>
            <w:r w:rsidR="00BD5283">
              <w:rPr>
                <w:noProof/>
                <w:webHidden/>
              </w:rPr>
              <w:t>26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5" w:history="1">
            <w:r w:rsidR="00BD5283" w:rsidRPr="0019712D">
              <w:rPr>
                <w:rStyle w:val="Hyperlink"/>
                <w:noProof/>
              </w:rPr>
              <w:t>How does the payment work?</w:t>
            </w:r>
            <w:r w:rsidR="00BD5283">
              <w:rPr>
                <w:noProof/>
                <w:webHidden/>
              </w:rPr>
              <w:tab/>
            </w:r>
            <w:r w:rsidR="00BD5283">
              <w:rPr>
                <w:noProof/>
                <w:webHidden/>
              </w:rPr>
              <w:fldChar w:fldCharType="begin"/>
            </w:r>
            <w:r w:rsidR="00BD5283">
              <w:rPr>
                <w:noProof/>
                <w:webHidden/>
              </w:rPr>
              <w:instrText xml:space="preserve"> PAGEREF _Toc499624725 \h </w:instrText>
            </w:r>
            <w:r w:rsidR="00BD5283">
              <w:rPr>
                <w:noProof/>
                <w:webHidden/>
              </w:rPr>
            </w:r>
            <w:r w:rsidR="00BD5283">
              <w:rPr>
                <w:noProof/>
                <w:webHidden/>
              </w:rPr>
              <w:fldChar w:fldCharType="separate"/>
            </w:r>
            <w:r w:rsidR="00BD5283">
              <w:rPr>
                <w:noProof/>
                <w:webHidden/>
              </w:rPr>
              <w:t>26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6" w:history="1">
            <w:r w:rsidR="00BD5283" w:rsidRPr="0019712D">
              <w:rPr>
                <w:rStyle w:val="Hyperlink"/>
                <w:noProof/>
              </w:rPr>
              <w:t>Strategy Recommendations</w:t>
            </w:r>
            <w:r w:rsidR="00BD5283">
              <w:rPr>
                <w:noProof/>
                <w:webHidden/>
              </w:rPr>
              <w:tab/>
            </w:r>
            <w:r w:rsidR="00BD5283">
              <w:rPr>
                <w:noProof/>
                <w:webHidden/>
              </w:rPr>
              <w:fldChar w:fldCharType="begin"/>
            </w:r>
            <w:r w:rsidR="00BD5283">
              <w:rPr>
                <w:noProof/>
                <w:webHidden/>
              </w:rPr>
              <w:instrText xml:space="preserve"> PAGEREF _Toc499624726 \h </w:instrText>
            </w:r>
            <w:r w:rsidR="00BD5283">
              <w:rPr>
                <w:noProof/>
                <w:webHidden/>
              </w:rPr>
            </w:r>
            <w:r w:rsidR="00BD5283">
              <w:rPr>
                <w:noProof/>
                <w:webHidden/>
              </w:rPr>
              <w:fldChar w:fldCharType="separate"/>
            </w:r>
            <w:r w:rsidR="00BD5283">
              <w:rPr>
                <w:noProof/>
                <w:webHidden/>
              </w:rPr>
              <w:t>26</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7" w:history="1">
            <w:r w:rsidR="00BD5283" w:rsidRPr="0019712D">
              <w:rPr>
                <w:rStyle w:val="Hyperlink"/>
                <w:noProof/>
              </w:rPr>
              <w:t>A vision for Equitable, Sustainable, and Transparent rating</w:t>
            </w:r>
            <w:r w:rsidR="00BD5283">
              <w:rPr>
                <w:noProof/>
                <w:webHidden/>
              </w:rPr>
              <w:tab/>
            </w:r>
            <w:r w:rsidR="00BD5283">
              <w:rPr>
                <w:noProof/>
                <w:webHidden/>
              </w:rPr>
              <w:fldChar w:fldCharType="begin"/>
            </w:r>
            <w:r w:rsidR="00BD5283">
              <w:rPr>
                <w:noProof/>
                <w:webHidden/>
              </w:rPr>
              <w:instrText xml:space="preserve"> PAGEREF _Toc499624727 \h </w:instrText>
            </w:r>
            <w:r w:rsidR="00BD5283">
              <w:rPr>
                <w:noProof/>
                <w:webHidden/>
              </w:rPr>
            </w:r>
            <w:r w:rsidR="00BD5283">
              <w:rPr>
                <w:noProof/>
                <w:webHidden/>
              </w:rPr>
              <w:fldChar w:fldCharType="separate"/>
            </w:r>
            <w:r w:rsidR="00BD5283">
              <w:rPr>
                <w:noProof/>
                <w:webHidden/>
              </w:rPr>
              <w:t>27</w:t>
            </w:r>
            <w:r w:rsidR="00BD5283">
              <w:rPr>
                <w:noProof/>
                <w:webHidden/>
              </w:rPr>
              <w:fldChar w:fldCharType="end"/>
            </w:r>
          </w:hyperlink>
        </w:p>
        <w:p w:rsidR="00BD5283" w:rsidRDefault="00A701D1">
          <w:pPr>
            <w:pStyle w:val="TOC2"/>
            <w:tabs>
              <w:tab w:val="right" w:leader="dot" w:pos="10456"/>
            </w:tabs>
            <w:rPr>
              <w:rFonts w:asciiTheme="minorHAnsi" w:eastAsiaTheme="minorEastAsia" w:hAnsiTheme="minorHAnsi" w:cstheme="minorBidi"/>
              <w:noProof/>
              <w:lang w:eastAsia="en-AU"/>
            </w:rPr>
          </w:pPr>
          <w:hyperlink w:anchor="_Toc499624728" w:history="1">
            <w:r w:rsidR="00BD5283" w:rsidRPr="0019712D">
              <w:rPr>
                <w:rStyle w:val="Hyperlink"/>
                <w:noProof/>
              </w:rPr>
              <w:t>Strategic Framework</w:t>
            </w:r>
            <w:r w:rsidR="00BD5283">
              <w:rPr>
                <w:noProof/>
                <w:webHidden/>
              </w:rPr>
              <w:tab/>
            </w:r>
            <w:r w:rsidR="00BD5283">
              <w:rPr>
                <w:noProof/>
                <w:webHidden/>
              </w:rPr>
              <w:fldChar w:fldCharType="begin"/>
            </w:r>
            <w:r w:rsidR="00BD5283">
              <w:rPr>
                <w:noProof/>
                <w:webHidden/>
              </w:rPr>
              <w:instrText xml:space="preserve"> PAGEREF _Toc499624728 \h </w:instrText>
            </w:r>
            <w:r w:rsidR="00BD5283">
              <w:rPr>
                <w:noProof/>
                <w:webHidden/>
              </w:rPr>
            </w:r>
            <w:r w:rsidR="00BD5283">
              <w:rPr>
                <w:noProof/>
                <w:webHidden/>
              </w:rPr>
              <w:fldChar w:fldCharType="separate"/>
            </w:r>
            <w:r w:rsidR="00BD5283">
              <w:rPr>
                <w:noProof/>
                <w:webHidden/>
              </w:rPr>
              <w:t>27</w:t>
            </w:r>
            <w:r w:rsidR="00BD5283">
              <w:rPr>
                <w:noProof/>
                <w:webHidden/>
              </w:rPr>
              <w:fldChar w:fldCharType="end"/>
            </w:r>
          </w:hyperlink>
        </w:p>
        <w:p w:rsidR="00511B3F" w:rsidRDefault="00511B3F">
          <w:r>
            <w:rPr>
              <w:b/>
              <w:bCs/>
              <w:noProof/>
            </w:rPr>
            <w:fldChar w:fldCharType="end"/>
          </w:r>
          <w:r w:rsidR="00B7570B" w:rsidRPr="00B7570B">
            <w:rPr>
              <w:bCs/>
              <w:noProof/>
            </w:rPr>
            <w:t>Appendix – Rate Collection and Financial Hardship Policy</w:t>
          </w:r>
        </w:p>
      </w:sdtContent>
    </w:sdt>
    <w:p w:rsidR="000D6D7F" w:rsidRPr="006122B0" w:rsidRDefault="000D6D7F" w:rsidP="00EC11EF">
      <w:r w:rsidRPr="006122B0">
        <w:br w:type="page"/>
      </w:r>
    </w:p>
    <w:p w:rsidR="00E74544" w:rsidRDefault="00E74544" w:rsidP="006122B0">
      <w:pPr>
        <w:rPr>
          <w:i/>
          <w:color w:val="FF0000"/>
        </w:rPr>
      </w:pPr>
    </w:p>
    <w:p w:rsidR="00E74544" w:rsidRDefault="00E74544" w:rsidP="006122B0">
      <w:pPr>
        <w:rPr>
          <w:i/>
          <w:color w:val="FF0000"/>
        </w:rPr>
      </w:pPr>
    </w:p>
    <w:p w:rsidR="00E74544" w:rsidRDefault="00E74544" w:rsidP="006122B0">
      <w:pPr>
        <w:rPr>
          <w:i/>
          <w:color w:val="FF0000"/>
        </w:rPr>
      </w:pPr>
    </w:p>
    <w:p w:rsidR="006122B0" w:rsidRDefault="006122B0" w:rsidP="006122B0">
      <w:pPr>
        <w:rPr>
          <w:i/>
          <w:color w:val="FF0000"/>
        </w:rPr>
      </w:pPr>
    </w:p>
    <w:p w:rsidR="006122B0" w:rsidRDefault="00E74544">
      <w:pPr>
        <w:rPr>
          <w:i/>
          <w:color w:val="FF0000"/>
        </w:rPr>
      </w:pPr>
      <w:r>
        <w:rPr>
          <w:noProof/>
          <w:lang w:eastAsia="en-AU"/>
        </w:rPr>
        <w:drawing>
          <wp:inline distT="0" distB="0" distL="0" distR="0" wp14:anchorId="6F905CE3" wp14:editId="1048746B">
            <wp:extent cx="6496050" cy="6657975"/>
            <wp:effectExtent l="0" t="0" r="1905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6122B0">
        <w:rPr>
          <w:i/>
          <w:color w:val="FF0000"/>
        </w:rPr>
        <w:br w:type="page"/>
      </w:r>
    </w:p>
    <w:p w:rsidR="006122B0" w:rsidRDefault="008B2179" w:rsidP="00F96372">
      <w:pPr>
        <w:pStyle w:val="Heading1"/>
        <w:numPr>
          <w:ilvl w:val="0"/>
          <w:numId w:val="5"/>
        </w:numPr>
        <w:ind w:left="709" w:hanging="709"/>
      </w:pPr>
      <w:bookmarkStart w:id="1" w:name="_Toc499624652"/>
      <w:r>
        <w:t>What</w:t>
      </w:r>
      <w:r w:rsidR="006122B0">
        <w:t xml:space="preserve"> is</w:t>
      </w:r>
      <w:r>
        <w:t xml:space="preserve"> a</w:t>
      </w:r>
      <w:r w:rsidR="006122B0">
        <w:t xml:space="preserve"> </w:t>
      </w:r>
      <w:r w:rsidRPr="00510740">
        <w:rPr>
          <w:i/>
          <w:color w:val="365F91" w:themeColor="accent1" w:themeShade="BF"/>
        </w:rPr>
        <w:t>Rating Strategy</w:t>
      </w:r>
      <w:r w:rsidR="006122B0">
        <w:t xml:space="preserve"> </w:t>
      </w:r>
      <w:r>
        <w:t>and why have one</w:t>
      </w:r>
      <w:r w:rsidR="006122B0">
        <w:t>?</w:t>
      </w:r>
      <w:bookmarkEnd w:id="1"/>
    </w:p>
    <w:p w:rsidR="006122B0" w:rsidRDefault="006122B0" w:rsidP="00493004"/>
    <w:p w:rsidR="0080641D" w:rsidRDefault="009F1A7A" w:rsidP="00F5730D">
      <w:pPr>
        <w:jc w:val="both"/>
        <w:rPr>
          <w:rFonts w:cs="Arial"/>
        </w:rPr>
      </w:pPr>
      <w:r>
        <w:rPr>
          <w:rFonts w:cs="Arial"/>
        </w:rPr>
        <w:t xml:space="preserve">The purpose of this strategy is for </w:t>
      </w:r>
      <w:r w:rsidR="0019151A">
        <w:rPr>
          <w:rFonts w:cs="Arial"/>
        </w:rPr>
        <w:t>Council</w:t>
      </w:r>
      <w:r>
        <w:rPr>
          <w:rFonts w:cs="Arial"/>
        </w:rPr>
        <w:t xml:space="preserve"> to consider how the rate burden </w:t>
      </w:r>
      <w:r w:rsidR="00DB77A6">
        <w:rPr>
          <w:rFonts w:cs="Arial"/>
        </w:rPr>
        <w:t xml:space="preserve">of our </w:t>
      </w:r>
      <w:r w:rsidR="00267070">
        <w:rPr>
          <w:rFonts w:cs="Arial"/>
        </w:rPr>
        <w:t xml:space="preserve">own </w:t>
      </w:r>
      <w:r w:rsidR="00DB77A6">
        <w:rPr>
          <w:rFonts w:cs="Arial"/>
        </w:rPr>
        <w:t xml:space="preserve">source revenue </w:t>
      </w:r>
      <w:r>
        <w:rPr>
          <w:rFonts w:cs="Arial"/>
        </w:rPr>
        <w:t>can be</w:t>
      </w:r>
      <w:r w:rsidR="0080641D">
        <w:rPr>
          <w:rFonts w:cs="Arial"/>
        </w:rPr>
        <w:t xml:space="preserve"> most </w:t>
      </w:r>
      <w:r w:rsidR="00BC3344">
        <w:rPr>
          <w:rFonts w:cs="Arial"/>
        </w:rPr>
        <w:t>equitably</w:t>
      </w:r>
      <w:r w:rsidR="00B16AF6">
        <w:rPr>
          <w:rFonts w:cs="Arial"/>
        </w:rPr>
        <w:t xml:space="preserve"> distributed.</w:t>
      </w:r>
    </w:p>
    <w:p w:rsidR="0080641D" w:rsidRDefault="0080641D" w:rsidP="00F5730D">
      <w:pPr>
        <w:pStyle w:val="Heading2"/>
        <w:jc w:val="both"/>
      </w:pPr>
      <w:bookmarkStart w:id="2" w:name="_Toc499624653"/>
      <w:r>
        <w:t>What is a rating strategy?</w:t>
      </w:r>
      <w:bookmarkEnd w:id="2"/>
    </w:p>
    <w:p w:rsidR="00295F70" w:rsidRDefault="0080641D" w:rsidP="00F5730D">
      <w:pPr>
        <w:pStyle w:val="NoSpacing"/>
        <w:jc w:val="both"/>
      </w:pPr>
      <w:r>
        <w:t xml:space="preserve">A rating strategy is the method by which </w:t>
      </w:r>
      <w:r w:rsidR="0019151A">
        <w:t>Council</w:t>
      </w:r>
      <w:r>
        <w:t xml:space="preserve"> systematically considers factors of importance that informs its decisions about the rating system.  The rating system determines how </w:t>
      </w:r>
      <w:r w:rsidR="0019151A">
        <w:t>Council</w:t>
      </w:r>
      <w:r>
        <w:t xml:space="preserve"> will raise money from properties within the municipality.  It does not influence the total amount of money to be raised, only the share of revenue contributed by each property.  The rating system comprises the valuation base for each property and the actual rating instruments allowed under the </w:t>
      </w:r>
      <w:r w:rsidR="00635A1F" w:rsidRPr="00635A1F">
        <w:rPr>
          <w:i/>
        </w:rPr>
        <w:t>Local Government Act</w:t>
      </w:r>
      <w:r>
        <w:t xml:space="preserve"> (1989) to calculate proper</w:t>
      </w:r>
      <w:r w:rsidR="00B16AF6">
        <w:t>ty owners’ liability for rates.</w:t>
      </w:r>
    </w:p>
    <w:p w:rsidR="00295F70" w:rsidRDefault="00295F70" w:rsidP="00F5730D">
      <w:pPr>
        <w:pStyle w:val="Heading2"/>
        <w:jc w:val="both"/>
      </w:pPr>
      <w:bookmarkStart w:id="3" w:name="_Toc499624654"/>
      <w:r>
        <w:t>The importance of a rating strategy</w:t>
      </w:r>
      <w:bookmarkEnd w:id="3"/>
    </w:p>
    <w:p w:rsidR="00295F70" w:rsidRDefault="00295F70" w:rsidP="00F5730D">
      <w:pPr>
        <w:jc w:val="both"/>
        <w:rPr>
          <w:lang w:val="en-US"/>
        </w:rPr>
      </w:pPr>
      <w:r>
        <w:rPr>
          <w:lang w:val="en-US"/>
        </w:rPr>
        <w:t xml:space="preserve">Maroondah City </w:t>
      </w:r>
      <w:r w:rsidR="0019151A">
        <w:rPr>
          <w:lang w:val="en-US"/>
        </w:rPr>
        <w:t>Council</w:t>
      </w:r>
      <w:r>
        <w:rPr>
          <w:lang w:val="en-US"/>
        </w:rPr>
        <w:t xml:space="preserve"> currently receives 65% of its total </w:t>
      </w:r>
      <w:r w:rsidR="00260950">
        <w:rPr>
          <w:lang w:val="en-US"/>
        </w:rPr>
        <w:t xml:space="preserve">own source </w:t>
      </w:r>
      <w:r>
        <w:rPr>
          <w:lang w:val="en-US"/>
        </w:rPr>
        <w:t>revenue (</w:t>
      </w:r>
      <w:r w:rsidR="00260950">
        <w:rPr>
          <w:lang w:val="en-US"/>
        </w:rPr>
        <w:t>which excludes</w:t>
      </w:r>
      <w:r>
        <w:rPr>
          <w:lang w:val="en-US"/>
        </w:rPr>
        <w:t xml:space="preserve"> non-discretionary capital grants and contributions) by way of property-based rates.  The development of strategies in respect of the rating base is therefore of critical importance to both </w:t>
      </w:r>
      <w:r w:rsidR="0019151A">
        <w:rPr>
          <w:lang w:val="en-US"/>
        </w:rPr>
        <w:t>Council</w:t>
      </w:r>
      <w:r>
        <w:rPr>
          <w:lang w:val="en-US"/>
        </w:rPr>
        <w:t xml:space="preserve"> and its community.</w:t>
      </w:r>
    </w:p>
    <w:p w:rsidR="00295F70" w:rsidRDefault="00295F70" w:rsidP="00F5730D">
      <w:pPr>
        <w:jc w:val="both"/>
        <w:rPr>
          <w:lang w:val="en-US"/>
        </w:rPr>
      </w:pPr>
    </w:p>
    <w:p w:rsidR="00295F70" w:rsidRDefault="00BC3344" w:rsidP="00F5730D">
      <w:pPr>
        <w:jc w:val="both"/>
        <w:rPr>
          <w:lang w:val="en-US"/>
        </w:rPr>
      </w:pPr>
      <w:r>
        <w:rPr>
          <w:lang w:val="en-US"/>
        </w:rPr>
        <w:t xml:space="preserve">The principles of good governance </w:t>
      </w:r>
      <w:r w:rsidR="00295F70">
        <w:rPr>
          <w:lang w:val="en-US"/>
        </w:rPr>
        <w:t xml:space="preserve">further require </w:t>
      </w:r>
      <w:r w:rsidR="0019151A">
        <w:rPr>
          <w:lang w:val="en-US"/>
        </w:rPr>
        <w:t>Council</w:t>
      </w:r>
      <w:r w:rsidR="00295F70">
        <w:rPr>
          <w:lang w:val="en-US"/>
        </w:rPr>
        <w:t xml:space="preserve"> to provide ongoing or periodic monitoring and review </w:t>
      </w:r>
      <w:r>
        <w:rPr>
          <w:lang w:val="en-US"/>
        </w:rPr>
        <w:t>of the impact of major decisions</w:t>
      </w:r>
      <w:r w:rsidR="00260950">
        <w:rPr>
          <w:lang w:val="en-US"/>
        </w:rPr>
        <w:t xml:space="preserve"> to ensure equity and transparency</w:t>
      </w:r>
      <w:r>
        <w:rPr>
          <w:lang w:val="en-US"/>
        </w:rPr>
        <w:t xml:space="preserve">.  It is therefore essential for </w:t>
      </w:r>
      <w:r w:rsidR="0019151A">
        <w:rPr>
          <w:lang w:val="en-US"/>
        </w:rPr>
        <w:t>Council</w:t>
      </w:r>
      <w:r>
        <w:rPr>
          <w:lang w:val="en-US"/>
        </w:rPr>
        <w:t xml:space="preserve"> to evaluate on a regular basis, the legislative objectives to which it must have regard and those other objectives which </w:t>
      </w:r>
      <w:r w:rsidR="0019151A">
        <w:rPr>
          <w:lang w:val="en-US"/>
        </w:rPr>
        <w:t>Council</w:t>
      </w:r>
      <w:r>
        <w:rPr>
          <w:lang w:val="en-US"/>
        </w:rPr>
        <w:t xml:space="preserve"> believes are relevant</w:t>
      </w:r>
      <w:r w:rsidR="00260950">
        <w:rPr>
          <w:lang w:val="en-US"/>
        </w:rPr>
        <w:t xml:space="preserve"> for this purpose</w:t>
      </w:r>
      <w:r>
        <w:rPr>
          <w:lang w:val="en-US"/>
        </w:rPr>
        <w:t>.</w:t>
      </w:r>
    </w:p>
    <w:p w:rsidR="00BC3344" w:rsidRDefault="00BC3344" w:rsidP="00F5730D">
      <w:pPr>
        <w:jc w:val="both"/>
        <w:rPr>
          <w:lang w:val="en-US"/>
        </w:rPr>
      </w:pPr>
    </w:p>
    <w:p w:rsidR="00BC3344" w:rsidRDefault="00BC3344" w:rsidP="00F5730D">
      <w:pPr>
        <w:jc w:val="both"/>
        <w:rPr>
          <w:lang w:val="en-US"/>
        </w:rPr>
      </w:pPr>
      <w:r>
        <w:rPr>
          <w:lang w:val="en-US"/>
        </w:rPr>
        <w:t xml:space="preserve">Maroondah City </w:t>
      </w:r>
      <w:r w:rsidR="0019151A">
        <w:rPr>
          <w:lang w:val="en-US"/>
        </w:rPr>
        <w:t>Council</w:t>
      </w:r>
      <w:r>
        <w:rPr>
          <w:lang w:val="en-US"/>
        </w:rPr>
        <w:t xml:space="preserve"> is seeking to fully document its objectives and approach to the raising of rate revenue in line with its goal of providing </w:t>
      </w:r>
      <w:r w:rsidR="00260950">
        <w:rPr>
          <w:lang w:val="en-US"/>
        </w:rPr>
        <w:t xml:space="preserve">equity and </w:t>
      </w:r>
      <w:r>
        <w:rPr>
          <w:lang w:val="en-US"/>
        </w:rPr>
        <w:t>trans</w:t>
      </w:r>
      <w:r w:rsidR="00B12433">
        <w:rPr>
          <w:lang w:val="en-US"/>
        </w:rPr>
        <w:t>parency in its decision-making.</w:t>
      </w:r>
    </w:p>
    <w:p w:rsidR="00BC3344" w:rsidRDefault="0019151A" w:rsidP="00F5730D">
      <w:pPr>
        <w:pStyle w:val="Heading2"/>
        <w:jc w:val="both"/>
      </w:pPr>
      <w:bookmarkStart w:id="4" w:name="_Toc499624655"/>
      <w:r>
        <w:t>Council</w:t>
      </w:r>
      <w:r w:rsidR="00BC3344">
        <w:t>’s Strategic Directions</w:t>
      </w:r>
      <w:bookmarkEnd w:id="4"/>
    </w:p>
    <w:p w:rsidR="00BC3344" w:rsidRDefault="0019151A" w:rsidP="00F5730D">
      <w:pPr>
        <w:jc w:val="both"/>
        <w:rPr>
          <w:lang w:val="en-US"/>
        </w:rPr>
      </w:pPr>
      <w:r>
        <w:rPr>
          <w:lang w:val="en-US"/>
        </w:rPr>
        <w:t>Council</w:t>
      </w:r>
      <w:r w:rsidR="00BC3344">
        <w:rPr>
          <w:lang w:val="en-US"/>
        </w:rPr>
        <w:t xml:space="preserve"> has determined that its annual rate setting objectives should be developed within a framework which integrates planning from a strategic directions level through to service delivery.</w:t>
      </w:r>
    </w:p>
    <w:p w:rsidR="00BC3344" w:rsidRDefault="00BC3344" w:rsidP="00F5730D">
      <w:pPr>
        <w:jc w:val="both"/>
        <w:rPr>
          <w:lang w:val="en-US"/>
        </w:rPr>
      </w:pPr>
    </w:p>
    <w:p w:rsidR="00BC3344" w:rsidRPr="00BC3344" w:rsidRDefault="00BC3344" w:rsidP="00F5730D">
      <w:pPr>
        <w:jc w:val="both"/>
        <w:rPr>
          <w:lang w:val="en-US"/>
        </w:rPr>
      </w:pPr>
      <w:r>
        <w:rPr>
          <w:lang w:val="en-US"/>
        </w:rPr>
        <w:t xml:space="preserve">The strategic directions of </w:t>
      </w:r>
      <w:r w:rsidR="0019151A">
        <w:rPr>
          <w:lang w:val="en-US"/>
        </w:rPr>
        <w:t>Council</w:t>
      </w:r>
      <w:r>
        <w:rPr>
          <w:lang w:val="en-US"/>
        </w:rPr>
        <w:t xml:space="preserve"> are set out in the following documents:</w:t>
      </w:r>
    </w:p>
    <w:p w:rsidR="00BC3344" w:rsidRDefault="00BC3344" w:rsidP="00F5730D">
      <w:pPr>
        <w:pStyle w:val="NoSpacing"/>
        <w:jc w:val="both"/>
      </w:pPr>
    </w:p>
    <w:p w:rsidR="00BC3344" w:rsidRDefault="0019151A" w:rsidP="00F5730D">
      <w:pPr>
        <w:pStyle w:val="Heading3"/>
        <w:spacing w:line="0" w:lineRule="atLeast"/>
        <w:jc w:val="both"/>
      </w:pPr>
      <w:bookmarkStart w:id="5" w:name="_Toc499624656"/>
      <w:r>
        <w:t>Council</w:t>
      </w:r>
      <w:r w:rsidR="00BC3344">
        <w:t xml:space="preserve"> Plan 2017-2021</w:t>
      </w:r>
      <w:bookmarkEnd w:id="5"/>
    </w:p>
    <w:p w:rsidR="00BC3344" w:rsidRDefault="00BC3344" w:rsidP="00F5730D">
      <w:pPr>
        <w:spacing w:line="0" w:lineRule="atLeast"/>
        <w:jc w:val="both"/>
        <w:rPr>
          <w:rFonts w:cs="Arial"/>
          <w:color w:val="313140"/>
          <w:lang w:val="en"/>
        </w:rPr>
      </w:pPr>
      <w:r>
        <w:rPr>
          <w:rFonts w:cs="Arial"/>
          <w:color w:val="313140"/>
          <w:lang w:val="en"/>
        </w:rPr>
        <w:t xml:space="preserve">This document </w:t>
      </w:r>
      <w:r w:rsidRPr="00BC3344">
        <w:rPr>
          <w:rFonts w:cs="Arial"/>
          <w:color w:val="313140"/>
          <w:lang w:val="en"/>
        </w:rPr>
        <w:t xml:space="preserve">is Maroondah City </w:t>
      </w:r>
      <w:r w:rsidR="0019151A">
        <w:rPr>
          <w:rFonts w:cs="Arial"/>
          <w:color w:val="313140"/>
          <w:lang w:val="en"/>
        </w:rPr>
        <w:t>Council</w:t>
      </w:r>
      <w:r w:rsidRPr="00BC3344">
        <w:rPr>
          <w:rFonts w:cs="Arial"/>
          <w:color w:val="313140"/>
          <w:lang w:val="en"/>
        </w:rPr>
        <w:t xml:space="preserve">’s medium-term strategic document that sets key directions and priority actions to work towards the long-term community vision outlined in </w:t>
      </w:r>
      <w:r w:rsidRPr="00631D82">
        <w:rPr>
          <w:rFonts w:cs="Arial"/>
          <w:color w:val="313140"/>
          <w:lang w:val="en"/>
        </w:rPr>
        <w:t>Maroondah 2040: Our future together</w:t>
      </w:r>
      <w:r w:rsidRPr="00BC3344">
        <w:rPr>
          <w:rFonts w:cs="Arial"/>
          <w:color w:val="313140"/>
          <w:lang w:val="en"/>
        </w:rPr>
        <w:t>.</w:t>
      </w:r>
    </w:p>
    <w:p w:rsidR="00762FF1" w:rsidRDefault="00762FF1" w:rsidP="00F5730D">
      <w:pPr>
        <w:spacing w:line="0" w:lineRule="atLeast"/>
        <w:jc w:val="both"/>
        <w:rPr>
          <w:rFonts w:cs="Arial"/>
          <w:color w:val="313140"/>
          <w:lang w:val="en"/>
        </w:rPr>
      </w:pPr>
    </w:p>
    <w:p w:rsidR="00762FF1" w:rsidRDefault="00762FF1" w:rsidP="00F5730D">
      <w:pPr>
        <w:pStyle w:val="Heading3"/>
        <w:spacing w:line="0" w:lineRule="atLeast"/>
        <w:jc w:val="both"/>
      </w:pPr>
      <w:bookmarkStart w:id="6" w:name="_Toc499624657"/>
      <w:r>
        <w:t>Maroondah 2040: Our future together</w:t>
      </w:r>
      <w:bookmarkEnd w:id="6"/>
    </w:p>
    <w:p w:rsidR="00762FF1" w:rsidRDefault="0019151A" w:rsidP="00F5730D">
      <w:pPr>
        <w:shd w:val="clear" w:color="auto" w:fill="FFFFFF"/>
        <w:spacing w:line="0" w:lineRule="atLeast"/>
        <w:jc w:val="both"/>
        <w:rPr>
          <w:rFonts w:eastAsia="Times New Roman" w:cs="Arial"/>
          <w:color w:val="000000" w:themeColor="text1"/>
          <w:lang w:val="en" w:eastAsia="en-AU"/>
        </w:rPr>
      </w:pPr>
      <w:r>
        <w:rPr>
          <w:rFonts w:eastAsia="Times New Roman" w:cs="Arial"/>
          <w:color w:val="313140"/>
          <w:lang w:val="en" w:eastAsia="en-AU"/>
        </w:rPr>
        <w:t>Council</w:t>
      </w:r>
      <w:r w:rsidR="00762FF1" w:rsidRPr="00631D82">
        <w:rPr>
          <w:rFonts w:eastAsia="Times New Roman" w:cs="Arial"/>
          <w:color w:val="313140"/>
          <w:lang w:val="en" w:eastAsia="en-AU"/>
        </w:rPr>
        <w:t xml:space="preserve"> formally adopted the Maroondah 2040 Community Vision on 23 June 2014 following </w:t>
      </w:r>
      <w:r w:rsidR="00762FF1" w:rsidRPr="00631D82">
        <w:rPr>
          <w:rFonts w:eastAsia="Times New Roman" w:cs="Arial"/>
          <w:color w:val="000000" w:themeColor="text1"/>
          <w:lang w:val="en" w:eastAsia="en-AU"/>
        </w:rPr>
        <w:t>extensive community consult</w:t>
      </w:r>
      <w:r w:rsidR="00762FF1">
        <w:rPr>
          <w:rFonts w:eastAsia="Times New Roman" w:cs="Arial"/>
          <w:color w:val="000000" w:themeColor="text1"/>
          <w:lang w:val="en" w:eastAsia="en-AU"/>
        </w:rPr>
        <w:t>ation.</w:t>
      </w:r>
    </w:p>
    <w:p w:rsidR="00762FF1" w:rsidRPr="00762FF1" w:rsidRDefault="00762FF1" w:rsidP="00F5730D">
      <w:pPr>
        <w:shd w:val="clear" w:color="auto" w:fill="FFFFFF"/>
        <w:spacing w:line="0" w:lineRule="atLeast"/>
        <w:jc w:val="both"/>
        <w:rPr>
          <w:rFonts w:eastAsia="Times New Roman" w:cs="Arial"/>
          <w:color w:val="000000" w:themeColor="text1"/>
          <w:lang w:val="en" w:eastAsia="en-AU"/>
        </w:rPr>
      </w:pPr>
    </w:p>
    <w:p w:rsidR="00762FF1" w:rsidRDefault="00762FF1" w:rsidP="00F5730D">
      <w:pPr>
        <w:shd w:val="clear" w:color="auto" w:fill="FFFFFF"/>
        <w:spacing w:line="0" w:lineRule="atLeast"/>
        <w:jc w:val="both"/>
        <w:rPr>
          <w:rFonts w:eastAsia="Times New Roman" w:cs="Arial"/>
          <w:color w:val="313140"/>
          <w:lang w:val="en" w:eastAsia="en-AU"/>
        </w:rPr>
      </w:pPr>
      <w:r w:rsidRPr="00631D82">
        <w:rPr>
          <w:rFonts w:eastAsia="Times New Roman" w:cs="Arial"/>
          <w:color w:val="313140"/>
          <w:lang w:val="en" w:eastAsia="en-AU"/>
        </w:rPr>
        <w:t xml:space="preserve">Maroondah 2040 provides a roadmap for our community, </w:t>
      </w:r>
      <w:r w:rsidR="0019151A">
        <w:rPr>
          <w:rFonts w:eastAsia="Times New Roman" w:cs="Arial"/>
          <w:color w:val="313140"/>
          <w:lang w:val="en" w:eastAsia="en-AU"/>
        </w:rPr>
        <w:t>Council</w:t>
      </w:r>
      <w:r>
        <w:rPr>
          <w:rFonts w:eastAsia="Times New Roman" w:cs="Arial"/>
          <w:color w:val="313140"/>
          <w:lang w:val="en" w:eastAsia="en-AU"/>
        </w:rPr>
        <w:t>,</w:t>
      </w:r>
      <w:r w:rsidRPr="00631D82">
        <w:rPr>
          <w:rFonts w:eastAsia="Times New Roman" w:cs="Arial"/>
          <w:color w:val="313140"/>
          <w:lang w:val="en" w:eastAsia="en-AU"/>
        </w:rPr>
        <w:t xml:space="preserve"> and other levels of government to </w:t>
      </w:r>
      <w:r w:rsidR="009360C6" w:rsidRPr="00631D82">
        <w:rPr>
          <w:rFonts w:eastAsia="Times New Roman" w:cs="Arial"/>
          <w:color w:val="313140"/>
          <w:lang w:val="en" w:eastAsia="en-AU"/>
        </w:rPr>
        <w:t>collaborate</w:t>
      </w:r>
      <w:r w:rsidRPr="00631D82">
        <w:rPr>
          <w:rFonts w:eastAsia="Times New Roman" w:cs="Arial"/>
          <w:color w:val="313140"/>
          <w:lang w:val="en" w:eastAsia="en-AU"/>
        </w:rPr>
        <w:t xml:space="preserve"> and create a future that enhances Maroondah as a great place to live, work, play and visit.</w:t>
      </w:r>
    </w:p>
    <w:p w:rsidR="00BC3344" w:rsidRDefault="00BC3344" w:rsidP="00F5730D">
      <w:pPr>
        <w:spacing w:line="0" w:lineRule="atLeast"/>
        <w:jc w:val="both"/>
        <w:rPr>
          <w:lang w:val="en-GB"/>
        </w:rPr>
      </w:pPr>
    </w:p>
    <w:p w:rsidR="00BC3344" w:rsidRDefault="00BC3344" w:rsidP="00F5730D">
      <w:pPr>
        <w:pStyle w:val="Heading3"/>
        <w:spacing w:line="0" w:lineRule="atLeast"/>
        <w:jc w:val="both"/>
      </w:pPr>
      <w:bookmarkStart w:id="7" w:name="_Toc499624658"/>
      <w:r>
        <w:t>Annual Report</w:t>
      </w:r>
      <w:bookmarkEnd w:id="7"/>
    </w:p>
    <w:p w:rsidR="00631D82" w:rsidRPr="00631D82" w:rsidRDefault="00631D82" w:rsidP="00F5730D">
      <w:pPr>
        <w:pStyle w:val="NormalWeb"/>
        <w:shd w:val="clear" w:color="auto" w:fill="FFFFFF"/>
        <w:spacing w:after="0" w:line="0" w:lineRule="atLeast"/>
        <w:jc w:val="both"/>
        <w:rPr>
          <w:rFonts w:ascii="Arial" w:hAnsi="Arial" w:cs="Arial"/>
          <w:color w:val="313140"/>
          <w:sz w:val="22"/>
          <w:szCs w:val="22"/>
          <w:lang w:val="en"/>
        </w:rPr>
      </w:pPr>
      <w:r w:rsidRPr="00631D82">
        <w:rPr>
          <w:rFonts w:ascii="Arial" w:hAnsi="Arial" w:cs="Arial"/>
          <w:color w:val="313140"/>
          <w:sz w:val="22"/>
          <w:szCs w:val="22"/>
          <w:lang w:val="en"/>
        </w:rPr>
        <w:t xml:space="preserve">Maroondah City </w:t>
      </w:r>
      <w:r w:rsidR="0019151A">
        <w:rPr>
          <w:rFonts w:ascii="Arial" w:hAnsi="Arial" w:cs="Arial"/>
          <w:color w:val="313140"/>
          <w:sz w:val="22"/>
          <w:szCs w:val="22"/>
          <w:lang w:val="en"/>
        </w:rPr>
        <w:t>Council</w:t>
      </w:r>
      <w:r w:rsidRPr="00631D82">
        <w:rPr>
          <w:rFonts w:ascii="Arial" w:hAnsi="Arial" w:cs="Arial"/>
          <w:color w:val="313140"/>
          <w:sz w:val="22"/>
          <w:szCs w:val="22"/>
          <w:lang w:val="en"/>
        </w:rPr>
        <w:t xml:space="preserve"> prepares an Annual Report every year in accordance with the requirements of the </w:t>
      </w:r>
      <w:r w:rsidR="00635A1F" w:rsidRPr="00635A1F">
        <w:rPr>
          <w:rFonts w:ascii="Arial" w:eastAsiaTheme="majorEastAsia" w:hAnsi="Arial" w:cs="Arial"/>
          <w:i/>
          <w:color w:val="313140"/>
          <w:sz w:val="22"/>
          <w:szCs w:val="22"/>
          <w:lang w:val="en"/>
        </w:rPr>
        <w:t>Local Government Act</w:t>
      </w:r>
      <w:r w:rsidRPr="00631D82">
        <w:rPr>
          <w:rFonts w:ascii="Arial" w:eastAsiaTheme="majorEastAsia" w:hAnsi="Arial" w:cs="Arial"/>
          <w:color w:val="313140"/>
          <w:sz w:val="22"/>
          <w:szCs w:val="22"/>
          <w:lang w:val="en"/>
        </w:rPr>
        <w:t xml:space="preserve"> 1989</w:t>
      </w:r>
      <w:r w:rsidRPr="00631D82">
        <w:rPr>
          <w:rFonts w:ascii="Arial" w:hAnsi="Arial" w:cs="Arial"/>
          <w:color w:val="313140"/>
          <w:sz w:val="22"/>
          <w:szCs w:val="22"/>
          <w:lang w:val="en"/>
        </w:rPr>
        <w:t>. </w:t>
      </w:r>
    </w:p>
    <w:p w:rsidR="00631D82" w:rsidRPr="00631D82" w:rsidRDefault="00631D82" w:rsidP="00F5730D">
      <w:pPr>
        <w:pStyle w:val="NormalWeb"/>
        <w:shd w:val="clear" w:color="auto" w:fill="FFFFFF"/>
        <w:spacing w:after="0" w:line="0" w:lineRule="atLeast"/>
        <w:jc w:val="both"/>
        <w:rPr>
          <w:rFonts w:ascii="Arial" w:hAnsi="Arial" w:cs="Arial"/>
          <w:color w:val="313140"/>
          <w:sz w:val="22"/>
          <w:szCs w:val="22"/>
          <w:lang w:val="en"/>
        </w:rPr>
      </w:pPr>
    </w:p>
    <w:p w:rsidR="004513E6" w:rsidRDefault="00631D82" w:rsidP="00F5730D">
      <w:pPr>
        <w:pStyle w:val="NormalWeb"/>
        <w:shd w:val="clear" w:color="auto" w:fill="FFFFFF"/>
        <w:spacing w:line="0" w:lineRule="atLeast"/>
        <w:jc w:val="both"/>
        <w:rPr>
          <w:rFonts w:ascii="Arial" w:hAnsi="Arial" w:cs="Arial"/>
          <w:color w:val="313140"/>
          <w:sz w:val="22"/>
          <w:szCs w:val="22"/>
          <w:lang w:val="en"/>
        </w:rPr>
      </w:pPr>
      <w:r w:rsidRPr="00631D82">
        <w:rPr>
          <w:rFonts w:ascii="Arial" w:hAnsi="Arial" w:cs="Arial"/>
          <w:color w:val="313140"/>
          <w:sz w:val="22"/>
          <w:szCs w:val="22"/>
          <w:lang w:val="en"/>
        </w:rPr>
        <w:t xml:space="preserve">The Annual Report is </w:t>
      </w:r>
      <w:r w:rsidR="0019151A">
        <w:rPr>
          <w:rFonts w:ascii="Arial" w:hAnsi="Arial" w:cs="Arial"/>
          <w:color w:val="313140"/>
          <w:sz w:val="22"/>
          <w:szCs w:val="22"/>
          <w:lang w:val="en"/>
        </w:rPr>
        <w:t>Council</w:t>
      </w:r>
      <w:r w:rsidRPr="00631D82">
        <w:rPr>
          <w:rFonts w:ascii="Arial" w:hAnsi="Arial" w:cs="Arial"/>
          <w:color w:val="313140"/>
          <w:sz w:val="22"/>
          <w:szCs w:val="22"/>
          <w:lang w:val="en"/>
        </w:rPr>
        <w:t xml:space="preserve">’s most comprehensive report to the community describing how the </w:t>
      </w:r>
      <w:r w:rsidR="0019151A">
        <w:rPr>
          <w:rFonts w:ascii="Arial" w:hAnsi="Arial" w:cs="Arial"/>
          <w:color w:val="313140"/>
          <w:sz w:val="22"/>
          <w:szCs w:val="22"/>
          <w:lang w:val="en"/>
        </w:rPr>
        <w:t>Council</w:t>
      </w:r>
      <w:r w:rsidRPr="00631D82">
        <w:rPr>
          <w:rFonts w:ascii="Arial" w:hAnsi="Arial" w:cs="Arial"/>
          <w:color w:val="313140"/>
          <w:sz w:val="22"/>
          <w:szCs w:val="22"/>
          <w:lang w:val="en"/>
        </w:rPr>
        <w:t xml:space="preserve"> has met its annual objectives. </w:t>
      </w:r>
    </w:p>
    <w:p w:rsidR="00762FF1" w:rsidRPr="004513E6" w:rsidRDefault="00762FF1" w:rsidP="00F5730D">
      <w:pPr>
        <w:pStyle w:val="Heading3"/>
        <w:jc w:val="both"/>
        <w:rPr>
          <w:rFonts w:cs="Arial"/>
          <w:color w:val="313140"/>
          <w:sz w:val="22"/>
          <w:szCs w:val="22"/>
          <w:lang w:val="en"/>
        </w:rPr>
      </w:pPr>
      <w:bookmarkStart w:id="8" w:name="_Toc499624659"/>
      <w:r>
        <w:t>Annual Budget</w:t>
      </w:r>
      <w:bookmarkEnd w:id="8"/>
    </w:p>
    <w:p w:rsidR="000351E2" w:rsidRDefault="00762FF1" w:rsidP="00F5730D">
      <w:pPr>
        <w:jc w:val="both"/>
        <w:rPr>
          <w:rFonts w:cs="Arial"/>
          <w:color w:val="313140"/>
          <w:lang w:val="en"/>
        </w:rPr>
      </w:pPr>
      <w:r>
        <w:rPr>
          <w:rFonts w:cs="Arial"/>
          <w:color w:val="313140"/>
          <w:lang w:val="en"/>
        </w:rPr>
        <w:t xml:space="preserve">The </w:t>
      </w:r>
      <w:r w:rsidRPr="00631D82">
        <w:rPr>
          <w:rFonts w:cs="Arial"/>
          <w:color w:val="313140"/>
          <w:lang w:val="en"/>
        </w:rPr>
        <w:t xml:space="preserve">Budget outlines how </w:t>
      </w:r>
      <w:r w:rsidR="0019151A">
        <w:rPr>
          <w:rFonts w:cs="Arial"/>
          <w:color w:val="313140"/>
          <w:lang w:val="en"/>
        </w:rPr>
        <w:t>Council</w:t>
      </w:r>
      <w:r w:rsidRPr="00631D82">
        <w:rPr>
          <w:rFonts w:cs="Arial"/>
          <w:color w:val="313140"/>
          <w:lang w:val="en"/>
        </w:rPr>
        <w:t>’s financial resources will be applied over the next 12 months. The Budget aims to meet priority actions as well as delivering more than 120 services and an extensive range of community programs.</w:t>
      </w:r>
    </w:p>
    <w:p w:rsidR="00762FF1" w:rsidRDefault="00762FF1" w:rsidP="00F5730D">
      <w:pPr>
        <w:jc w:val="both"/>
        <w:rPr>
          <w:rFonts w:cs="Arial"/>
          <w:color w:val="313140"/>
          <w:lang w:val="en"/>
        </w:rPr>
      </w:pPr>
    </w:p>
    <w:p w:rsidR="000351E2" w:rsidRDefault="00762FF1" w:rsidP="00F5730D">
      <w:pPr>
        <w:jc w:val="both"/>
        <w:rPr>
          <w:rFonts w:cs="Arial"/>
          <w:color w:val="313140"/>
          <w:lang w:val="en"/>
        </w:rPr>
      </w:pPr>
      <w:r>
        <w:rPr>
          <w:rFonts w:cs="Arial"/>
          <w:color w:val="313140"/>
          <w:lang w:val="en"/>
        </w:rPr>
        <w:t xml:space="preserve">In Victoria, there is a common legislative framework for setting a budget that </w:t>
      </w:r>
      <w:r w:rsidR="0019151A">
        <w:rPr>
          <w:rFonts w:cs="Arial"/>
          <w:color w:val="313140"/>
          <w:lang w:val="en"/>
        </w:rPr>
        <w:t>Council</w:t>
      </w:r>
      <w:r>
        <w:rPr>
          <w:rFonts w:cs="Arial"/>
          <w:color w:val="313140"/>
          <w:lang w:val="en"/>
        </w:rPr>
        <w:t xml:space="preserve">s must follow, as set out in the </w:t>
      </w:r>
      <w:r w:rsidR="00635A1F" w:rsidRPr="00635A1F">
        <w:rPr>
          <w:rFonts w:cs="Arial"/>
          <w:i/>
          <w:color w:val="313140"/>
          <w:lang w:val="en"/>
        </w:rPr>
        <w:t>Local Government Act</w:t>
      </w:r>
      <w:r>
        <w:rPr>
          <w:rFonts w:cs="Arial"/>
          <w:color w:val="313140"/>
          <w:lang w:val="en"/>
        </w:rPr>
        <w:t xml:space="preserve"> (1989).</w:t>
      </w:r>
    </w:p>
    <w:p w:rsidR="009360C6" w:rsidRDefault="009360C6" w:rsidP="00F5730D">
      <w:pPr>
        <w:jc w:val="both"/>
        <w:rPr>
          <w:rFonts w:cs="Arial"/>
          <w:color w:val="313140"/>
          <w:lang w:val="en"/>
        </w:rPr>
      </w:pPr>
    </w:p>
    <w:p w:rsidR="00762FF1" w:rsidRDefault="000351E2" w:rsidP="00F5730D">
      <w:pPr>
        <w:jc w:val="both"/>
        <w:rPr>
          <w:rFonts w:cs="Arial"/>
          <w:color w:val="313140"/>
          <w:lang w:val="en"/>
        </w:rPr>
      </w:pPr>
      <w:r w:rsidRPr="00AD05A8">
        <w:rPr>
          <w:rFonts w:cs="Arial"/>
          <w:b/>
          <w:color w:val="313140"/>
          <w:lang w:val="en"/>
        </w:rPr>
        <w:t>Budget Considerations</w:t>
      </w:r>
      <w:r>
        <w:rPr>
          <w:rFonts w:cs="Arial"/>
          <w:color w:val="313140"/>
          <w:lang w:val="en"/>
        </w:rPr>
        <w:t>.</w:t>
      </w:r>
    </w:p>
    <w:p w:rsidR="00762FF1" w:rsidRDefault="0019151A" w:rsidP="00F5730D">
      <w:pPr>
        <w:jc w:val="both"/>
        <w:rPr>
          <w:rFonts w:cs="Arial"/>
          <w:color w:val="313140"/>
          <w:lang w:val="en"/>
        </w:rPr>
      </w:pPr>
      <w:r>
        <w:rPr>
          <w:rFonts w:cs="Arial"/>
          <w:color w:val="313140"/>
          <w:lang w:val="en"/>
        </w:rPr>
        <w:t>Council</w:t>
      </w:r>
      <w:r w:rsidR="00762FF1">
        <w:rPr>
          <w:rFonts w:cs="Arial"/>
          <w:color w:val="313140"/>
          <w:lang w:val="en"/>
        </w:rPr>
        <w:t xml:space="preserve"> prepares and publishes its annual budget as a separate document in compliance with the LGA, which includes a comprehensive submissions and approvals process.  As part of the financial planning and budget process, the </w:t>
      </w:r>
      <w:r w:rsidR="00995378">
        <w:rPr>
          <w:rFonts w:cs="Arial"/>
          <w:color w:val="313140"/>
          <w:lang w:val="en"/>
        </w:rPr>
        <w:t xml:space="preserve">own source </w:t>
      </w:r>
      <w:r w:rsidR="00762FF1">
        <w:rPr>
          <w:rFonts w:cs="Arial"/>
          <w:color w:val="313140"/>
          <w:lang w:val="en"/>
        </w:rPr>
        <w:t xml:space="preserve">rate revenue required to meet expenditure needs is calculated </w:t>
      </w:r>
      <w:r w:rsidR="009360C6">
        <w:rPr>
          <w:rFonts w:cs="Arial"/>
          <w:color w:val="313140"/>
          <w:lang w:val="en"/>
        </w:rPr>
        <w:t>considering</w:t>
      </w:r>
      <w:r w:rsidR="00762FF1">
        <w:rPr>
          <w:rFonts w:cs="Arial"/>
          <w:color w:val="313140"/>
          <w:lang w:val="en"/>
        </w:rPr>
        <w:t xml:space="preserve"> other sources of revenue.</w:t>
      </w:r>
    </w:p>
    <w:p w:rsidR="00762FF1" w:rsidRDefault="00762FF1" w:rsidP="00F5730D">
      <w:pPr>
        <w:jc w:val="both"/>
        <w:rPr>
          <w:rFonts w:cs="Arial"/>
          <w:color w:val="313140"/>
          <w:lang w:val="en"/>
        </w:rPr>
      </w:pPr>
    </w:p>
    <w:p w:rsidR="00762FF1" w:rsidRDefault="00762FF1" w:rsidP="00F5730D">
      <w:pPr>
        <w:jc w:val="both"/>
        <w:rPr>
          <w:rFonts w:cs="Arial"/>
          <w:color w:val="313140"/>
          <w:lang w:val="en"/>
        </w:rPr>
      </w:pPr>
      <w:r>
        <w:rPr>
          <w:rFonts w:cs="Arial"/>
          <w:color w:val="313140"/>
          <w:lang w:val="en"/>
        </w:rPr>
        <w:t xml:space="preserve">Other sources include statutory fees for building and planning through to user pays fees assessed annually in accordance with movements in CPI, </w:t>
      </w:r>
      <w:r w:rsidR="006F377C">
        <w:rPr>
          <w:rFonts w:cs="Arial"/>
          <w:color w:val="313140"/>
          <w:lang w:val="en"/>
        </w:rPr>
        <w:t>wages,</w:t>
      </w:r>
      <w:r>
        <w:rPr>
          <w:rFonts w:cs="Arial"/>
          <w:color w:val="313140"/>
          <w:lang w:val="en"/>
        </w:rPr>
        <w:t xml:space="preserve"> and market factors.  </w:t>
      </w:r>
      <w:r w:rsidR="0019151A">
        <w:rPr>
          <w:rFonts w:cs="Arial"/>
          <w:color w:val="313140"/>
          <w:lang w:val="en"/>
        </w:rPr>
        <w:t>Council</w:t>
      </w:r>
      <w:r>
        <w:rPr>
          <w:rFonts w:cs="Arial"/>
          <w:color w:val="313140"/>
          <w:lang w:val="en"/>
        </w:rPr>
        <w:t xml:space="preserve"> relies on Federal and State funding mainly via the Grants </w:t>
      </w:r>
      <w:r w:rsidR="006F377C">
        <w:rPr>
          <w:rFonts w:cs="Arial"/>
          <w:color w:val="313140"/>
          <w:lang w:val="en"/>
        </w:rPr>
        <w:t>Commission</w:t>
      </w:r>
      <w:r>
        <w:rPr>
          <w:rFonts w:cs="Arial"/>
          <w:color w:val="313140"/>
          <w:lang w:val="en"/>
        </w:rPr>
        <w:t xml:space="preserve"> allo</w:t>
      </w:r>
      <w:r w:rsidR="006F377C">
        <w:rPr>
          <w:rFonts w:cs="Arial"/>
          <w:color w:val="313140"/>
          <w:lang w:val="en"/>
        </w:rPr>
        <w:t>cations.  Specific purpose grant</w:t>
      </w:r>
      <w:r>
        <w:rPr>
          <w:rFonts w:cs="Arial"/>
          <w:color w:val="313140"/>
          <w:lang w:val="en"/>
        </w:rPr>
        <w:t xml:space="preserve">s for new services and capital </w:t>
      </w:r>
      <w:r w:rsidR="006F377C">
        <w:rPr>
          <w:rFonts w:cs="Arial"/>
          <w:color w:val="313140"/>
          <w:lang w:val="en"/>
        </w:rPr>
        <w:t>works</w:t>
      </w:r>
      <w:r>
        <w:rPr>
          <w:rFonts w:cs="Arial"/>
          <w:color w:val="313140"/>
          <w:lang w:val="en"/>
        </w:rPr>
        <w:t xml:space="preserve"> are also received.  Each year </w:t>
      </w:r>
      <w:r w:rsidR="0019151A">
        <w:rPr>
          <w:rFonts w:cs="Arial"/>
          <w:color w:val="313140"/>
          <w:lang w:val="en"/>
        </w:rPr>
        <w:t>Council</w:t>
      </w:r>
      <w:r>
        <w:rPr>
          <w:rFonts w:cs="Arial"/>
          <w:color w:val="313140"/>
          <w:lang w:val="en"/>
        </w:rPr>
        <w:t xml:space="preserve"> </w:t>
      </w:r>
      <w:r w:rsidR="006F377C">
        <w:rPr>
          <w:rFonts w:cs="Arial"/>
          <w:color w:val="313140"/>
          <w:lang w:val="en"/>
        </w:rPr>
        <w:t>establishes</w:t>
      </w:r>
      <w:r>
        <w:rPr>
          <w:rFonts w:cs="Arial"/>
          <w:color w:val="313140"/>
          <w:lang w:val="en"/>
        </w:rPr>
        <w:t xml:space="preserve"> the maintenance needs of its assets and infrastructure and the </w:t>
      </w:r>
      <w:r w:rsidR="006F377C">
        <w:rPr>
          <w:rFonts w:cs="Arial"/>
          <w:color w:val="313140"/>
          <w:lang w:val="en"/>
        </w:rPr>
        <w:t>community</w:t>
      </w:r>
      <w:r>
        <w:rPr>
          <w:rFonts w:cs="Arial"/>
          <w:color w:val="313140"/>
          <w:lang w:val="en"/>
        </w:rPr>
        <w:t xml:space="preserve"> services and facilities that will be provided in the next financial year.</w:t>
      </w:r>
    </w:p>
    <w:p w:rsidR="000351E2" w:rsidRDefault="000351E2" w:rsidP="00F5730D">
      <w:pPr>
        <w:jc w:val="both"/>
        <w:rPr>
          <w:rFonts w:cs="Arial"/>
          <w:color w:val="313140"/>
          <w:lang w:val="en"/>
        </w:rPr>
      </w:pPr>
    </w:p>
    <w:p w:rsidR="00BC3344" w:rsidRPr="00B12433" w:rsidRDefault="000351E2" w:rsidP="00F5730D">
      <w:pPr>
        <w:jc w:val="both"/>
        <w:rPr>
          <w:rFonts w:cs="Arial"/>
          <w:lang w:val="en-GB"/>
        </w:rPr>
      </w:pPr>
      <w:r>
        <w:rPr>
          <w:rFonts w:cs="Arial"/>
          <w:color w:val="313140"/>
          <w:lang w:val="en"/>
        </w:rPr>
        <w:t xml:space="preserve">After considering these other revenue sources, </w:t>
      </w:r>
      <w:r w:rsidR="0019151A">
        <w:rPr>
          <w:rFonts w:cs="Arial"/>
          <w:color w:val="313140"/>
          <w:lang w:val="en"/>
        </w:rPr>
        <w:t>Council</w:t>
      </w:r>
      <w:r>
        <w:rPr>
          <w:rFonts w:cs="Arial"/>
          <w:color w:val="313140"/>
          <w:lang w:val="en"/>
        </w:rPr>
        <w:t xml:space="preserve"> then determines the amount required to be collected in rates to meet the required level of operational services and capital expenditure determined by </w:t>
      </w:r>
      <w:r w:rsidR="0019151A">
        <w:rPr>
          <w:rFonts w:cs="Arial"/>
          <w:color w:val="313140"/>
          <w:lang w:val="en"/>
        </w:rPr>
        <w:t>Council</w:t>
      </w:r>
      <w:r>
        <w:rPr>
          <w:rFonts w:cs="Arial"/>
          <w:color w:val="313140"/>
          <w:lang w:val="en"/>
        </w:rPr>
        <w:t>.  The structure of the rating system is then determined, considering how rates are levied between and within the various categories of ratepayers by setting differential rates i.e. the Ra</w:t>
      </w:r>
      <w:r w:rsidR="00F5730D">
        <w:rPr>
          <w:rFonts w:cs="Arial"/>
          <w:color w:val="313140"/>
          <w:lang w:val="en"/>
        </w:rPr>
        <w:t xml:space="preserve">ting Strategy. </w:t>
      </w:r>
      <w:r>
        <w:rPr>
          <w:rFonts w:cs="Arial"/>
          <w:color w:val="313140"/>
          <w:lang w:val="en"/>
        </w:rPr>
        <w:t xml:space="preserve">Generally, </w:t>
      </w:r>
      <w:r w:rsidR="0019151A">
        <w:rPr>
          <w:rFonts w:cs="Arial"/>
          <w:color w:val="313140"/>
          <w:lang w:val="en"/>
        </w:rPr>
        <w:t>Council</w:t>
      </w:r>
      <w:r>
        <w:rPr>
          <w:rFonts w:cs="Arial"/>
          <w:color w:val="313140"/>
          <w:lang w:val="en"/>
        </w:rPr>
        <w:t xml:space="preserve"> </w:t>
      </w:r>
      <w:r w:rsidR="009360C6">
        <w:rPr>
          <w:rFonts w:cs="Arial"/>
          <w:color w:val="313140"/>
          <w:lang w:val="en"/>
        </w:rPr>
        <w:t>seeks</w:t>
      </w:r>
      <w:r>
        <w:rPr>
          <w:rFonts w:cs="Arial"/>
          <w:color w:val="313140"/>
          <w:lang w:val="en"/>
        </w:rPr>
        <w:t xml:space="preserve"> a balanced budget, i.e. that </w:t>
      </w:r>
      <w:r w:rsidR="00260950">
        <w:rPr>
          <w:rFonts w:cs="Arial"/>
          <w:color w:val="313140"/>
          <w:lang w:val="en"/>
        </w:rPr>
        <w:t xml:space="preserve">total </w:t>
      </w:r>
      <w:r>
        <w:rPr>
          <w:rFonts w:cs="Arial"/>
          <w:color w:val="313140"/>
          <w:lang w:val="en"/>
        </w:rPr>
        <w:t xml:space="preserve">revenue is equal to </w:t>
      </w:r>
      <w:r w:rsidR="00260950">
        <w:rPr>
          <w:rFonts w:cs="Arial"/>
          <w:color w:val="313140"/>
          <w:lang w:val="en"/>
        </w:rPr>
        <w:t xml:space="preserve">total </w:t>
      </w:r>
      <w:r>
        <w:rPr>
          <w:rFonts w:cs="Arial"/>
          <w:color w:val="313140"/>
          <w:lang w:val="en"/>
        </w:rPr>
        <w:t xml:space="preserve">expenses. Any </w:t>
      </w:r>
      <w:r w:rsidR="00260950">
        <w:rPr>
          <w:rFonts w:cs="Arial"/>
          <w:color w:val="313140"/>
          <w:lang w:val="en"/>
        </w:rPr>
        <w:t>s</w:t>
      </w:r>
      <w:r>
        <w:rPr>
          <w:rFonts w:cs="Arial"/>
          <w:color w:val="313140"/>
          <w:lang w:val="en"/>
        </w:rPr>
        <w:t>urplus or deficit result should be minor in context of the overall budget</w:t>
      </w:r>
      <w:r w:rsidR="00260950">
        <w:rPr>
          <w:rFonts w:cs="Arial"/>
          <w:color w:val="313140"/>
          <w:lang w:val="en"/>
        </w:rPr>
        <w:t xml:space="preserve"> to ensure financial sustainability in the long term</w:t>
      </w:r>
      <w:r>
        <w:rPr>
          <w:rFonts w:cs="Arial"/>
          <w:color w:val="313140"/>
          <w:lang w:val="en"/>
        </w:rPr>
        <w:t>.</w:t>
      </w:r>
    </w:p>
    <w:p w:rsidR="006122B0" w:rsidRDefault="006122B0" w:rsidP="00493004">
      <w:pPr>
        <w:pStyle w:val="Heading1"/>
      </w:pPr>
      <w:bookmarkStart w:id="9" w:name="_Toc499624660"/>
      <w:r>
        <w:t>2</w:t>
      </w:r>
      <w:r w:rsidR="005F030C">
        <w:t xml:space="preserve">.  </w:t>
      </w:r>
      <w:r w:rsidR="00AD05A8">
        <w:t>Rating – the legislative framework</w:t>
      </w:r>
      <w:bookmarkEnd w:id="9"/>
    </w:p>
    <w:p w:rsidR="00AD05A8" w:rsidRPr="00B16AF6" w:rsidRDefault="00AD05A8" w:rsidP="00F5730D">
      <w:pPr>
        <w:jc w:val="both"/>
        <w:rPr>
          <w:lang w:val="en-US"/>
        </w:rPr>
      </w:pPr>
      <w:r>
        <w:rPr>
          <w:lang w:val="en-US"/>
        </w:rPr>
        <w:t xml:space="preserve">The purpose of this section is to outline the legislative framework in which </w:t>
      </w:r>
      <w:r w:rsidR="0019151A">
        <w:rPr>
          <w:lang w:val="en-US"/>
        </w:rPr>
        <w:t>Council</w:t>
      </w:r>
      <w:r>
        <w:rPr>
          <w:lang w:val="en-US"/>
        </w:rPr>
        <w:t xml:space="preserve"> </w:t>
      </w:r>
      <w:r w:rsidR="004F1826">
        <w:rPr>
          <w:lang w:val="en-US"/>
        </w:rPr>
        <w:t>must</w:t>
      </w:r>
      <w:r>
        <w:rPr>
          <w:lang w:val="en-US"/>
        </w:rPr>
        <w:t xml:space="preserve"> operate in constructing its rating system and the various issue</w:t>
      </w:r>
      <w:r w:rsidR="00260950">
        <w:rPr>
          <w:lang w:val="en-US"/>
        </w:rPr>
        <w:t>s</w:t>
      </w:r>
      <w:r>
        <w:rPr>
          <w:lang w:val="en-US"/>
        </w:rPr>
        <w:t xml:space="preserve"> that </w:t>
      </w:r>
      <w:r w:rsidR="0019151A">
        <w:rPr>
          <w:lang w:val="en-US"/>
        </w:rPr>
        <w:t>Council</w:t>
      </w:r>
      <w:r>
        <w:rPr>
          <w:lang w:val="en-US"/>
        </w:rPr>
        <w:t xml:space="preserve"> must consider in making its deci</w:t>
      </w:r>
      <w:r w:rsidR="00B16AF6">
        <w:rPr>
          <w:lang w:val="en-US"/>
        </w:rPr>
        <w:t>sions on its rating objectives.</w:t>
      </w:r>
    </w:p>
    <w:p w:rsidR="00AD05A8" w:rsidRDefault="00AD05A8" w:rsidP="00F5730D">
      <w:pPr>
        <w:pStyle w:val="Heading2"/>
        <w:jc w:val="both"/>
      </w:pPr>
      <w:bookmarkStart w:id="10" w:name="_Toc499624661"/>
      <w:r>
        <w:t>Introduction</w:t>
      </w:r>
      <w:bookmarkEnd w:id="10"/>
    </w:p>
    <w:p w:rsidR="00AD05A8" w:rsidRDefault="00AD05A8" w:rsidP="00F5730D">
      <w:pPr>
        <w:jc w:val="both"/>
        <w:rPr>
          <w:lang w:val="en-US"/>
        </w:rPr>
      </w:pPr>
      <w:r>
        <w:rPr>
          <w:lang w:val="en-US"/>
        </w:rPr>
        <w:t xml:space="preserve">The rating framework is </w:t>
      </w:r>
      <w:r w:rsidR="00260950">
        <w:rPr>
          <w:lang w:val="en-US"/>
        </w:rPr>
        <w:t>outlined</w:t>
      </w:r>
      <w:r>
        <w:rPr>
          <w:lang w:val="en-US"/>
        </w:rPr>
        <w:t xml:space="preserve"> in the </w:t>
      </w:r>
      <w:r w:rsidR="00635A1F" w:rsidRPr="00635A1F">
        <w:rPr>
          <w:i/>
          <w:lang w:val="en-US"/>
        </w:rPr>
        <w:t>Local Government Act</w:t>
      </w:r>
      <w:r>
        <w:rPr>
          <w:lang w:val="en-US"/>
        </w:rPr>
        <w:t xml:space="preserve"> (1989) and determines a </w:t>
      </w:r>
      <w:r w:rsidR="0019151A">
        <w:rPr>
          <w:lang w:val="en-US"/>
        </w:rPr>
        <w:t>Council</w:t>
      </w:r>
      <w:r>
        <w:rPr>
          <w:lang w:val="en-US"/>
        </w:rPr>
        <w:t>’s ability to develop a rating system.  The framework provides considerable flexibility to suit requirements within the context of public finance methodology which includes principles of equity, benefit efficiency and</w:t>
      </w:r>
      <w:r w:rsidR="00B16AF6">
        <w:rPr>
          <w:lang w:val="en-US"/>
        </w:rPr>
        <w:t xml:space="preserve"> community resource allocation.</w:t>
      </w:r>
    </w:p>
    <w:p w:rsidR="00AD05A8" w:rsidRDefault="00AD05A8" w:rsidP="00F5730D">
      <w:pPr>
        <w:pStyle w:val="Heading2"/>
        <w:jc w:val="both"/>
      </w:pPr>
      <w:bookmarkStart w:id="11" w:name="_Toc499624662"/>
      <w:r>
        <w:t>Context</w:t>
      </w:r>
      <w:bookmarkEnd w:id="11"/>
    </w:p>
    <w:p w:rsidR="00AD05A8" w:rsidRDefault="0019151A" w:rsidP="00F5730D">
      <w:pPr>
        <w:jc w:val="both"/>
        <w:rPr>
          <w:lang w:val="en-US"/>
        </w:rPr>
      </w:pPr>
      <w:r>
        <w:rPr>
          <w:lang w:val="en-US"/>
        </w:rPr>
        <w:t>Council</w:t>
      </w:r>
      <w:r w:rsidR="00AD05A8">
        <w:rPr>
          <w:lang w:val="en-US"/>
        </w:rPr>
        <w:t xml:space="preserve"> has a duty to continue to review and refine the impact of its major decisions</w:t>
      </w:r>
      <w:r w:rsidR="00260950">
        <w:rPr>
          <w:lang w:val="en-US"/>
        </w:rPr>
        <w:t xml:space="preserve"> to ensure municipal-wide equity</w:t>
      </w:r>
      <w:r w:rsidR="00002618">
        <w:rPr>
          <w:lang w:val="en-US"/>
        </w:rPr>
        <w:t xml:space="preserve"> and transparency</w:t>
      </w:r>
      <w:r w:rsidR="00AD05A8">
        <w:rPr>
          <w:lang w:val="en-US"/>
        </w:rPr>
        <w:t>.</w:t>
      </w:r>
    </w:p>
    <w:p w:rsidR="00AD05A8" w:rsidRDefault="00AD05A8" w:rsidP="00F5730D">
      <w:pPr>
        <w:jc w:val="both"/>
        <w:rPr>
          <w:lang w:val="en-US"/>
        </w:rPr>
      </w:pPr>
    </w:p>
    <w:p w:rsidR="00AD05A8" w:rsidRDefault="00AD05A8" w:rsidP="00F5730D">
      <w:pPr>
        <w:jc w:val="both"/>
        <w:rPr>
          <w:lang w:val="en-US"/>
        </w:rPr>
      </w:pPr>
      <w:r>
        <w:rPr>
          <w:lang w:val="en-US"/>
        </w:rPr>
        <w:t xml:space="preserve">It is incumbent upon </w:t>
      </w:r>
      <w:r w:rsidR="0019151A">
        <w:rPr>
          <w:lang w:val="en-US"/>
        </w:rPr>
        <w:t>Council</w:t>
      </w:r>
      <w:r>
        <w:rPr>
          <w:lang w:val="en-US"/>
        </w:rPr>
        <w:t xml:space="preserve"> to regularly evaluate the current rating system to ensure it best satisfies the legislative objectives to which it must have regard and other objectives including ratepayer satisfaction, which </w:t>
      </w:r>
      <w:r w:rsidR="0019151A">
        <w:rPr>
          <w:lang w:val="en-US"/>
        </w:rPr>
        <w:t>Council</w:t>
      </w:r>
      <w:r>
        <w:rPr>
          <w:lang w:val="en-US"/>
        </w:rPr>
        <w:t xml:space="preserve"> believes, </w:t>
      </w:r>
      <w:r w:rsidR="00002618">
        <w:rPr>
          <w:lang w:val="en-US"/>
        </w:rPr>
        <w:t>is essential</w:t>
      </w:r>
      <w:r>
        <w:rPr>
          <w:lang w:val="en-US"/>
        </w:rPr>
        <w:t>.</w:t>
      </w:r>
    </w:p>
    <w:p w:rsidR="00AD05A8" w:rsidRDefault="00AD05A8" w:rsidP="00F5730D">
      <w:pPr>
        <w:jc w:val="both"/>
        <w:rPr>
          <w:lang w:val="en-US"/>
        </w:rPr>
      </w:pPr>
    </w:p>
    <w:p w:rsidR="006E211D" w:rsidRDefault="0019151A" w:rsidP="00F5730D">
      <w:pPr>
        <w:jc w:val="both"/>
        <w:rPr>
          <w:lang w:val="en-US"/>
        </w:rPr>
      </w:pPr>
      <w:r>
        <w:rPr>
          <w:lang w:val="en-US"/>
        </w:rPr>
        <w:t>Council</w:t>
      </w:r>
      <w:r w:rsidR="00AD05A8">
        <w:rPr>
          <w:lang w:val="en-US"/>
        </w:rPr>
        <w:t xml:space="preserve"> has prepared the Rating Strategy within </w:t>
      </w:r>
      <w:r w:rsidR="00002618">
        <w:rPr>
          <w:lang w:val="en-US"/>
        </w:rPr>
        <w:t xml:space="preserve">the </w:t>
      </w:r>
      <w:r w:rsidR="00AD05A8">
        <w:rPr>
          <w:lang w:val="en-US"/>
        </w:rPr>
        <w:t>context of current legislative constraints and to improve community understanding by providing a detailed explanation of</w:t>
      </w:r>
      <w:r w:rsidR="00B12433">
        <w:rPr>
          <w:lang w:val="en-US"/>
        </w:rPr>
        <w:t xml:space="preserve"> rating concepts and decisions.</w:t>
      </w:r>
    </w:p>
    <w:p w:rsidR="006E211D" w:rsidRDefault="006E211D" w:rsidP="00F5730D">
      <w:pPr>
        <w:pStyle w:val="Heading2"/>
        <w:jc w:val="both"/>
      </w:pPr>
      <w:bookmarkStart w:id="12" w:name="_Toc499624663"/>
      <w:r>
        <w:t>Background</w:t>
      </w:r>
      <w:bookmarkEnd w:id="12"/>
    </w:p>
    <w:p w:rsidR="006E211D" w:rsidRDefault="0019151A" w:rsidP="00F5730D">
      <w:pPr>
        <w:jc w:val="both"/>
        <w:rPr>
          <w:lang w:val="en-US"/>
        </w:rPr>
      </w:pPr>
      <w:r>
        <w:rPr>
          <w:lang w:val="en-US"/>
        </w:rPr>
        <w:t>Council</w:t>
      </w:r>
      <w:r w:rsidR="006E211D">
        <w:rPr>
          <w:lang w:val="en-US"/>
        </w:rPr>
        <w:t xml:space="preserve"> acknowledges that the existing taxation of property (wealth tax) value method is imperfect; however, the application of an alternate rating model (e.g. income tax) is not available within the current constrains of the existing legislation.</w:t>
      </w:r>
    </w:p>
    <w:p w:rsidR="006E211D" w:rsidRDefault="006E211D" w:rsidP="00F5730D">
      <w:pPr>
        <w:jc w:val="both"/>
        <w:rPr>
          <w:lang w:val="en-US"/>
        </w:rPr>
      </w:pPr>
    </w:p>
    <w:p w:rsidR="006E211D" w:rsidRDefault="0019151A" w:rsidP="00F5730D">
      <w:pPr>
        <w:jc w:val="both"/>
        <w:rPr>
          <w:lang w:val="en-US"/>
        </w:rPr>
      </w:pPr>
      <w:r>
        <w:rPr>
          <w:lang w:val="en-US"/>
        </w:rPr>
        <w:t>Council</w:t>
      </w:r>
      <w:r w:rsidR="006E211D">
        <w:rPr>
          <w:lang w:val="en-US"/>
        </w:rPr>
        <w:t xml:space="preserve"> can </w:t>
      </w:r>
      <w:r w:rsidR="00002618">
        <w:rPr>
          <w:lang w:val="en-US"/>
        </w:rPr>
        <w:t xml:space="preserve">however </w:t>
      </w:r>
      <w:r w:rsidR="006E211D">
        <w:rPr>
          <w:lang w:val="en-US"/>
        </w:rPr>
        <w:t xml:space="preserve">through a process of consultation and determination, modify certain aspects of the rating system </w:t>
      </w:r>
      <w:r w:rsidR="00002618">
        <w:rPr>
          <w:lang w:val="en-US"/>
        </w:rPr>
        <w:t xml:space="preserve">within its control and authority, </w:t>
      </w:r>
      <w:r w:rsidR="006E211D">
        <w:rPr>
          <w:lang w:val="en-US"/>
        </w:rPr>
        <w:t xml:space="preserve">in accordance with the legislation, to </w:t>
      </w:r>
      <w:r w:rsidR="00002618">
        <w:rPr>
          <w:lang w:val="en-US"/>
        </w:rPr>
        <w:t xml:space="preserve">ensure equity and transparency for all </w:t>
      </w:r>
      <w:r w:rsidR="006E211D">
        <w:rPr>
          <w:lang w:val="en-US"/>
        </w:rPr>
        <w:t xml:space="preserve">sections of the community.  Such </w:t>
      </w:r>
      <w:r w:rsidR="00002618">
        <w:rPr>
          <w:lang w:val="en-US"/>
        </w:rPr>
        <w:t>decision making</w:t>
      </w:r>
      <w:r w:rsidR="006E211D">
        <w:rPr>
          <w:lang w:val="en-US"/>
        </w:rPr>
        <w:t xml:space="preserve"> must be in </w:t>
      </w:r>
      <w:r w:rsidR="00002618">
        <w:rPr>
          <w:lang w:val="en-US"/>
        </w:rPr>
        <w:t xml:space="preserve">the </w:t>
      </w:r>
      <w:r w:rsidR="006E211D">
        <w:rPr>
          <w:lang w:val="en-US"/>
        </w:rPr>
        <w:t xml:space="preserve">context of having wide acceptance in respect to social and equity principles while minimizing any penalty, via a shift in rate burden, to other ratepayers.  There is a common misconception that if a property’s valuation rises, then </w:t>
      </w:r>
      <w:r>
        <w:rPr>
          <w:lang w:val="en-US"/>
        </w:rPr>
        <w:t>Council</w:t>
      </w:r>
      <w:r w:rsidR="006E211D">
        <w:rPr>
          <w:lang w:val="en-US"/>
        </w:rPr>
        <w:t xml:space="preserve"> receive</w:t>
      </w:r>
      <w:r w:rsidR="00002618">
        <w:rPr>
          <w:lang w:val="en-US"/>
        </w:rPr>
        <w:t>s</w:t>
      </w:r>
      <w:r w:rsidR="006E211D">
        <w:rPr>
          <w:lang w:val="en-US"/>
        </w:rPr>
        <w:t xml:space="preserve"> a ‘windfall gain’ with additional income.  This is not the case, rather, the revaluation process results in a redistribution of the rate burden across all properties in the municipality.  Any increase to total valuations of the municipality, is offset by a reduction to the rate in dollar (ad valorem rate) used to calculate the rate for each property.</w:t>
      </w:r>
    </w:p>
    <w:p w:rsidR="006E211D" w:rsidRDefault="006E211D" w:rsidP="00F5730D">
      <w:pPr>
        <w:jc w:val="both"/>
        <w:rPr>
          <w:lang w:val="en-US"/>
        </w:rPr>
      </w:pPr>
    </w:p>
    <w:p w:rsidR="006E211D" w:rsidRDefault="006E211D" w:rsidP="00F5730D">
      <w:pPr>
        <w:jc w:val="both"/>
        <w:rPr>
          <w:lang w:val="en-US"/>
        </w:rPr>
      </w:pPr>
      <w:r>
        <w:rPr>
          <w:lang w:val="en-US"/>
        </w:rPr>
        <w:t xml:space="preserve">On 2 December 2015, the Victorian Government passed legislation to restrict </w:t>
      </w:r>
      <w:r w:rsidR="0019151A">
        <w:rPr>
          <w:lang w:val="en-US"/>
        </w:rPr>
        <w:t>Council</w:t>
      </w:r>
      <w:r>
        <w:rPr>
          <w:lang w:val="en-US"/>
        </w:rPr>
        <w:t xml:space="preserve"> from increasing rate income by more than the average cap set by the Minister for Local Government.  The Minister will announce each year the amount that Victoria </w:t>
      </w:r>
      <w:r w:rsidR="0019151A">
        <w:rPr>
          <w:lang w:val="en-US"/>
        </w:rPr>
        <w:t>Council</w:t>
      </w:r>
      <w:r>
        <w:rPr>
          <w:lang w:val="en-US"/>
        </w:rPr>
        <w:t xml:space="preserve"> rates may rise</w:t>
      </w:r>
      <w:r w:rsidR="0023364E">
        <w:rPr>
          <w:lang w:val="en-US"/>
        </w:rPr>
        <w:t>, usually</w:t>
      </w:r>
      <w:r>
        <w:rPr>
          <w:lang w:val="en-US"/>
        </w:rPr>
        <w:t xml:space="preserve"> in line with</w:t>
      </w:r>
      <w:r w:rsidR="0023364E">
        <w:rPr>
          <w:lang w:val="en-US"/>
        </w:rPr>
        <w:t xml:space="preserve"> the rate of inflation</w:t>
      </w:r>
      <w:r w:rsidR="00246220">
        <w:rPr>
          <w:lang w:val="en-US"/>
        </w:rPr>
        <w:t xml:space="preserve"> which is calculated as </w:t>
      </w:r>
      <w:r w:rsidR="0023364E">
        <w:rPr>
          <w:lang w:val="en-US"/>
        </w:rPr>
        <w:t>the Consumer Price Index (CPI) as published by the Victoria Department of Treasure and Finance.</w:t>
      </w:r>
      <w:r w:rsidR="00995378">
        <w:rPr>
          <w:lang w:val="en-US"/>
        </w:rPr>
        <w:t xml:space="preserve"> There is also a recommendation from the Essential Services Commission that the Minister also consider an ‘Efficiency Factor’ for the 18/19 and ongoing financial year, however, the detail and whether or not the Minister will take up this consideration is yet to be known.</w:t>
      </w:r>
    </w:p>
    <w:p w:rsidR="0023364E" w:rsidRDefault="0023364E" w:rsidP="00F5730D">
      <w:pPr>
        <w:jc w:val="both"/>
        <w:rPr>
          <w:lang w:val="en-US"/>
        </w:rPr>
      </w:pPr>
    </w:p>
    <w:p w:rsidR="0023364E" w:rsidRDefault="0019151A" w:rsidP="00F5730D">
      <w:pPr>
        <w:jc w:val="both"/>
        <w:rPr>
          <w:lang w:val="en-US"/>
        </w:rPr>
      </w:pPr>
      <w:r>
        <w:rPr>
          <w:lang w:val="en-US"/>
        </w:rPr>
        <w:t>Council</w:t>
      </w:r>
      <w:r w:rsidR="0023364E">
        <w:rPr>
          <w:lang w:val="en-US"/>
        </w:rPr>
        <w:t xml:space="preserve"> acknowledges that property taxes do not recognize the situation where ratepayers are “asset rich” and “income poor</w:t>
      </w:r>
      <w:r w:rsidR="00246220">
        <w:rPr>
          <w:lang w:val="en-US"/>
        </w:rPr>
        <w:t>”</w:t>
      </w:r>
      <w:r w:rsidR="0023364E">
        <w:rPr>
          <w:lang w:val="en-US"/>
        </w:rPr>
        <w:t xml:space="preserve">.  In some cases, ratepayers may have considerable wealth reflected in property they own but have a </w:t>
      </w:r>
      <w:r w:rsidR="009A40FF">
        <w:rPr>
          <w:lang w:val="en-US"/>
        </w:rPr>
        <w:t>low-level</w:t>
      </w:r>
      <w:r w:rsidR="0023364E">
        <w:rPr>
          <w:lang w:val="en-US"/>
        </w:rPr>
        <w:t xml:space="preserve"> income.  Examples inc</w:t>
      </w:r>
      <w:r w:rsidR="00FA6118">
        <w:rPr>
          <w:lang w:val="en-US"/>
        </w:rPr>
        <w:t>lude pensioners, self-</w:t>
      </w:r>
      <w:r w:rsidR="0023364E">
        <w:rPr>
          <w:lang w:val="en-US"/>
        </w:rPr>
        <w:t>funded retirees, businesses subject to cyclical downturn, households with large families and property owners with little equity b</w:t>
      </w:r>
      <w:r w:rsidR="00246220">
        <w:rPr>
          <w:lang w:val="en-US"/>
        </w:rPr>
        <w:t>ut</w:t>
      </w:r>
      <w:r w:rsidR="0023364E">
        <w:rPr>
          <w:lang w:val="en-US"/>
        </w:rPr>
        <w:t xml:space="preserve"> high levels of mortgage debt.  Moreover, the Australian taxation system which allows for annuities, allocated pensions income and other assets to be treated differently in an assessment for government concessions and benefits, may further distort the true disposable income status of one household compared to another.</w:t>
      </w:r>
    </w:p>
    <w:p w:rsidR="007E1C62" w:rsidRDefault="007E1C62" w:rsidP="00F5730D">
      <w:pPr>
        <w:jc w:val="both"/>
        <w:rPr>
          <w:lang w:val="en-US"/>
        </w:rPr>
      </w:pPr>
    </w:p>
    <w:p w:rsidR="007E1C62" w:rsidRDefault="007E1C62" w:rsidP="00F5730D">
      <w:pPr>
        <w:jc w:val="both"/>
        <w:rPr>
          <w:lang w:val="en-US"/>
        </w:rPr>
      </w:pPr>
      <w:r>
        <w:rPr>
          <w:lang w:val="en-US"/>
        </w:rPr>
        <w:t xml:space="preserve">While personal income tax is more reflective of the capacity to pay, it is not possible to expect a property tax system to deal practically with all aspects of capacity to pay based on individual households and business.  It is also not </w:t>
      </w:r>
      <w:r w:rsidR="000309B2">
        <w:rPr>
          <w:lang w:val="en-US"/>
        </w:rPr>
        <w:t>practical</w:t>
      </w:r>
      <w:r>
        <w:rPr>
          <w:lang w:val="en-US"/>
        </w:rPr>
        <w:t xml:space="preserve"> or acceptable to shift, modify or manipulate the existing system to the benefit of one group of ratepayers at the expense of another unless </w:t>
      </w:r>
      <w:r w:rsidR="000309B2">
        <w:rPr>
          <w:lang w:val="en-US"/>
        </w:rPr>
        <w:t>such</w:t>
      </w:r>
      <w:r>
        <w:rPr>
          <w:lang w:val="en-US"/>
        </w:rPr>
        <w:t xml:space="preserve"> shift is widely accepted and for </w:t>
      </w:r>
      <w:r w:rsidR="00E37D19">
        <w:rPr>
          <w:lang w:val="en-US"/>
        </w:rPr>
        <w:t>ethical</w:t>
      </w:r>
      <w:r w:rsidR="00A3490B">
        <w:rPr>
          <w:lang w:val="en-US"/>
        </w:rPr>
        <w:t xml:space="preserve"> and equity p</w:t>
      </w:r>
      <w:r>
        <w:rPr>
          <w:lang w:val="en-US"/>
        </w:rPr>
        <w:t>urpose.  In fact, Local Govern</w:t>
      </w:r>
      <w:r w:rsidR="000309B2">
        <w:rPr>
          <w:lang w:val="en-US"/>
        </w:rPr>
        <w:t>ment has no mandate or ability to</w:t>
      </w:r>
      <w:r>
        <w:rPr>
          <w:lang w:val="en-US"/>
        </w:rPr>
        <w:t xml:space="preserve"> universally apply a “capacity to pay” test.  In </w:t>
      </w:r>
      <w:r w:rsidR="000309B2">
        <w:rPr>
          <w:lang w:val="en-US"/>
        </w:rPr>
        <w:t>recognition</w:t>
      </w:r>
      <w:r>
        <w:rPr>
          <w:lang w:val="en-US"/>
        </w:rPr>
        <w:t xml:space="preserve"> of this fact, </w:t>
      </w:r>
      <w:r w:rsidR="0019151A">
        <w:rPr>
          <w:lang w:val="en-US"/>
        </w:rPr>
        <w:t>Council</w:t>
      </w:r>
      <w:r>
        <w:rPr>
          <w:lang w:val="en-US"/>
        </w:rPr>
        <w:t xml:space="preserve"> has developed</w:t>
      </w:r>
      <w:r w:rsidR="000309B2">
        <w:rPr>
          <w:lang w:val="en-US"/>
        </w:rPr>
        <w:t xml:space="preserve"> its rates assistance and payment options to ensure that office</w:t>
      </w:r>
      <w:r w:rsidR="00A3490B">
        <w:rPr>
          <w:lang w:val="en-US"/>
        </w:rPr>
        <w:t>r</w:t>
      </w:r>
      <w:r w:rsidR="000309B2">
        <w:rPr>
          <w:lang w:val="en-US"/>
        </w:rPr>
        <w:t>s can provide ratepayers with assistance upon request.</w:t>
      </w:r>
    </w:p>
    <w:p w:rsidR="000309B2" w:rsidRDefault="000309B2" w:rsidP="00F5730D">
      <w:pPr>
        <w:jc w:val="both"/>
        <w:rPr>
          <w:lang w:val="en-US"/>
        </w:rPr>
      </w:pPr>
    </w:p>
    <w:p w:rsidR="000309B2" w:rsidRDefault="000309B2" w:rsidP="00F5730D">
      <w:pPr>
        <w:jc w:val="both"/>
        <w:rPr>
          <w:lang w:val="en-US"/>
        </w:rPr>
      </w:pPr>
      <w:r>
        <w:rPr>
          <w:lang w:val="en-US"/>
        </w:rPr>
        <w:t xml:space="preserve">In the Local Government context, the rating system determines how </w:t>
      </w:r>
      <w:r w:rsidR="0019151A">
        <w:rPr>
          <w:lang w:val="en-US"/>
        </w:rPr>
        <w:t>Council</w:t>
      </w:r>
      <w:r>
        <w:rPr>
          <w:lang w:val="en-US"/>
        </w:rPr>
        <w:t xml:space="preserve"> will raise </w:t>
      </w:r>
      <w:r w:rsidR="00C3040F">
        <w:rPr>
          <w:lang w:val="en-US"/>
        </w:rPr>
        <w:t>o</w:t>
      </w:r>
      <w:r w:rsidR="00995378">
        <w:rPr>
          <w:lang w:val="en-US"/>
        </w:rPr>
        <w:t>wn</w:t>
      </w:r>
      <w:r w:rsidR="00C3040F">
        <w:rPr>
          <w:lang w:val="en-US"/>
        </w:rPr>
        <w:t xml:space="preserve"> source </w:t>
      </w:r>
      <w:r>
        <w:rPr>
          <w:lang w:val="en-US"/>
        </w:rPr>
        <w:t>money from properties within the municipality while the annual budget determines how that money will be spent.  The rating system comprises the valuation base and the rating instruments that are used to calculate property owner’s liability for rates.</w:t>
      </w:r>
    </w:p>
    <w:p w:rsidR="000309B2" w:rsidRDefault="000309B2" w:rsidP="00F5730D">
      <w:pPr>
        <w:jc w:val="both"/>
        <w:rPr>
          <w:lang w:val="en-US"/>
        </w:rPr>
      </w:pPr>
    </w:p>
    <w:p w:rsidR="000309B2" w:rsidRDefault="000309B2" w:rsidP="00F5730D">
      <w:pPr>
        <w:jc w:val="both"/>
        <w:rPr>
          <w:lang w:val="en-US"/>
        </w:rPr>
      </w:pPr>
      <w:r>
        <w:rPr>
          <w:lang w:val="en-US"/>
        </w:rPr>
        <w:t xml:space="preserve">The rating framework is set down in the </w:t>
      </w:r>
      <w:r w:rsidR="00635A1F" w:rsidRPr="00635A1F">
        <w:rPr>
          <w:i/>
          <w:lang w:val="en-US"/>
        </w:rPr>
        <w:t>Local Government Act</w:t>
      </w:r>
      <w:r>
        <w:rPr>
          <w:lang w:val="en-US"/>
        </w:rPr>
        <w:t xml:space="preserve"> (1989) and determines a </w:t>
      </w:r>
      <w:r w:rsidR="0019151A">
        <w:rPr>
          <w:lang w:val="en-US"/>
        </w:rPr>
        <w:t>Council</w:t>
      </w:r>
      <w:r>
        <w:rPr>
          <w:lang w:val="en-US"/>
        </w:rPr>
        <w:t xml:space="preserve">’s ability to develop a rating system.  The framework provides flexibility to suit its requirements within </w:t>
      </w:r>
      <w:r w:rsidR="00C3040F">
        <w:rPr>
          <w:lang w:val="en-US"/>
        </w:rPr>
        <w:t xml:space="preserve">the </w:t>
      </w:r>
      <w:r>
        <w:rPr>
          <w:lang w:val="en-US"/>
        </w:rPr>
        <w:t>context of public finance methodology, which includes principles of equity, benefit, efficiency, and</w:t>
      </w:r>
      <w:r w:rsidR="00B16AF6">
        <w:rPr>
          <w:lang w:val="en-US"/>
        </w:rPr>
        <w:t xml:space="preserve"> community resource allocation.</w:t>
      </w:r>
    </w:p>
    <w:p w:rsidR="000309B2" w:rsidRDefault="000309B2" w:rsidP="00F5730D">
      <w:pPr>
        <w:pStyle w:val="Heading2"/>
        <w:jc w:val="both"/>
      </w:pPr>
      <w:bookmarkStart w:id="13" w:name="_Toc499624664"/>
      <w:r>
        <w:t>2.1 Legislative Framework</w:t>
      </w:r>
      <w:bookmarkEnd w:id="13"/>
    </w:p>
    <w:p w:rsidR="000309B2" w:rsidRDefault="000309B2" w:rsidP="00F5730D">
      <w:pPr>
        <w:spacing w:after="60"/>
        <w:jc w:val="both"/>
        <w:rPr>
          <w:lang w:val="en-US"/>
        </w:rPr>
      </w:pPr>
      <w:r>
        <w:rPr>
          <w:lang w:val="en-US"/>
        </w:rPr>
        <w:t xml:space="preserve">Section 3C of the </w:t>
      </w:r>
      <w:r w:rsidR="00635A1F" w:rsidRPr="00635A1F">
        <w:rPr>
          <w:i/>
          <w:lang w:val="en-US"/>
        </w:rPr>
        <w:t>Local Government Act</w:t>
      </w:r>
      <w:r>
        <w:rPr>
          <w:lang w:val="en-US"/>
        </w:rPr>
        <w:t xml:space="preserve"> (1989) stipulates the primary objective of </w:t>
      </w:r>
      <w:r w:rsidR="0019151A">
        <w:rPr>
          <w:lang w:val="en-US"/>
        </w:rPr>
        <w:t>Council</w:t>
      </w:r>
      <w:r>
        <w:rPr>
          <w:lang w:val="en-US"/>
        </w:rPr>
        <w:t xml:space="preserve"> is to endeavor to achieve the best outcomes for the local community having regard to the long term and cumulative effects of its decision</w:t>
      </w:r>
      <w:r w:rsidR="00213985">
        <w:rPr>
          <w:lang w:val="en-US"/>
        </w:rPr>
        <w:t xml:space="preserve"> making</w:t>
      </w:r>
      <w:r>
        <w:rPr>
          <w:lang w:val="en-US"/>
        </w:rPr>
        <w:t xml:space="preserve">.  In seeking to achieve its primary objective, a </w:t>
      </w:r>
      <w:r w:rsidR="0019151A">
        <w:rPr>
          <w:lang w:val="en-US"/>
        </w:rPr>
        <w:t>Council</w:t>
      </w:r>
      <w:r>
        <w:rPr>
          <w:lang w:val="en-US"/>
        </w:rPr>
        <w:t xml:space="preserve"> must have regard to facilitating the following objectives-</w:t>
      </w:r>
    </w:p>
    <w:p w:rsidR="000309B2" w:rsidRDefault="000309B2" w:rsidP="00F96372">
      <w:pPr>
        <w:pStyle w:val="ListParagraph"/>
        <w:numPr>
          <w:ilvl w:val="0"/>
          <w:numId w:val="3"/>
        </w:numPr>
        <w:jc w:val="both"/>
        <w:rPr>
          <w:lang w:val="en-US"/>
        </w:rPr>
      </w:pPr>
      <w:r>
        <w:rPr>
          <w:lang w:val="en-US"/>
        </w:rPr>
        <w:t xml:space="preserve">Promote the social, </w:t>
      </w:r>
      <w:r w:rsidR="007D397A">
        <w:rPr>
          <w:lang w:val="en-US"/>
        </w:rPr>
        <w:t>economic,</w:t>
      </w:r>
      <w:r>
        <w:rPr>
          <w:lang w:val="en-US"/>
        </w:rPr>
        <w:t xml:space="preserve"> and environmental viability and sustainability of the municipal district;</w:t>
      </w:r>
    </w:p>
    <w:p w:rsidR="000309B2" w:rsidRDefault="000309B2" w:rsidP="00F96372">
      <w:pPr>
        <w:pStyle w:val="ListParagraph"/>
        <w:numPr>
          <w:ilvl w:val="0"/>
          <w:numId w:val="3"/>
        </w:numPr>
        <w:jc w:val="both"/>
        <w:rPr>
          <w:lang w:val="en-US"/>
        </w:rPr>
      </w:pPr>
      <w:r>
        <w:rPr>
          <w:lang w:val="en-US"/>
        </w:rPr>
        <w:t>Ensure resources are used efficiently and effectively;</w:t>
      </w:r>
    </w:p>
    <w:p w:rsidR="000309B2" w:rsidRDefault="000309B2" w:rsidP="00F96372">
      <w:pPr>
        <w:pStyle w:val="ListParagraph"/>
        <w:numPr>
          <w:ilvl w:val="0"/>
          <w:numId w:val="3"/>
        </w:numPr>
        <w:jc w:val="both"/>
        <w:rPr>
          <w:lang w:val="en-US"/>
        </w:rPr>
      </w:pPr>
      <w:r>
        <w:rPr>
          <w:lang w:val="en-US"/>
        </w:rPr>
        <w:t>Improve the overall quality of life of the people in the local community;</w:t>
      </w:r>
    </w:p>
    <w:p w:rsidR="000309B2" w:rsidRDefault="007D397A" w:rsidP="00F96372">
      <w:pPr>
        <w:pStyle w:val="ListParagraph"/>
        <w:numPr>
          <w:ilvl w:val="0"/>
          <w:numId w:val="3"/>
        </w:numPr>
        <w:jc w:val="both"/>
        <w:rPr>
          <w:lang w:val="en-US"/>
        </w:rPr>
      </w:pPr>
      <w:r>
        <w:rPr>
          <w:lang w:val="en-US"/>
        </w:rPr>
        <w:t>Promote</w:t>
      </w:r>
      <w:r w:rsidR="000309B2">
        <w:rPr>
          <w:lang w:val="en-US"/>
        </w:rPr>
        <w:t xml:space="preserve"> appropriate business and employment </w:t>
      </w:r>
      <w:r>
        <w:rPr>
          <w:lang w:val="en-US"/>
        </w:rPr>
        <w:t>opportunities</w:t>
      </w:r>
      <w:r w:rsidR="000309B2">
        <w:rPr>
          <w:lang w:val="en-US"/>
        </w:rPr>
        <w:t>;</w:t>
      </w:r>
    </w:p>
    <w:p w:rsidR="000309B2" w:rsidRDefault="000309B2" w:rsidP="00F96372">
      <w:pPr>
        <w:pStyle w:val="ListParagraph"/>
        <w:numPr>
          <w:ilvl w:val="0"/>
          <w:numId w:val="3"/>
        </w:numPr>
        <w:jc w:val="both"/>
        <w:rPr>
          <w:lang w:val="en-US"/>
        </w:rPr>
      </w:pPr>
      <w:r>
        <w:rPr>
          <w:lang w:val="en-US"/>
        </w:rPr>
        <w:t>Ensure services and facilities provided are accessible and equitable</w:t>
      </w:r>
    </w:p>
    <w:p w:rsidR="000309B2" w:rsidRDefault="000309B2" w:rsidP="00F96372">
      <w:pPr>
        <w:pStyle w:val="ListParagraph"/>
        <w:numPr>
          <w:ilvl w:val="0"/>
          <w:numId w:val="3"/>
        </w:numPr>
        <w:jc w:val="both"/>
        <w:rPr>
          <w:lang w:val="en-US"/>
        </w:rPr>
      </w:pPr>
      <w:r>
        <w:rPr>
          <w:lang w:val="en-US"/>
        </w:rPr>
        <w:t>Ensure the equitable imposition of rates and charges;</w:t>
      </w:r>
    </w:p>
    <w:p w:rsidR="000309B2" w:rsidRDefault="000309B2" w:rsidP="00F96372">
      <w:pPr>
        <w:pStyle w:val="ListParagraph"/>
        <w:numPr>
          <w:ilvl w:val="0"/>
          <w:numId w:val="3"/>
        </w:numPr>
        <w:jc w:val="both"/>
        <w:rPr>
          <w:lang w:val="en-US"/>
        </w:rPr>
      </w:pPr>
      <w:r>
        <w:rPr>
          <w:lang w:val="en-US"/>
        </w:rPr>
        <w:t xml:space="preserve">Ensure transparency and </w:t>
      </w:r>
      <w:r w:rsidR="007D397A">
        <w:rPr>
          <w:lang w:val="en-US"/>
        </w:rPr>
        <w:t>accountability</w:t>
      </w:r>
      <w:r>
        <w:rPr>
          <w:lang w:val="en-US"/>
        </w:rPr>
        <w:t xml:space="preserve"> in </w:t>
      </w:r>
      <w:r w:rsidR="0019151A">
        <w:rPr>
          <w:lang w:val="en-US"/>
        </w:rPr>
        <w:t>Council</w:t>
      </w:r>
      <w:r>
        <w:rPr>
          <w:lang w:val="en-US"/>
        </w:rPr>
        <w:t xml:space="preserve"> decision making.</w:t>
      </w:r>
    </w:p>
    <w:p w:rsidR="000309B2" w:rsidRDefault="000309B2" w:rsidP="00F5730D">
      <w:pPr>
        <w:jc w:val="both"/>
        <w:rPr>
          <w:lang w:val="en-US"/>
        </w:rPr>
      </w:pPr>
    </w:p>
    <w:p w:rsidR="000309B2" w:rsidRDefault="000309B2" w:rsidP="00F5730D">
      <w:pPr>
        <w:jc w:val="both"/>
        <w:rPr>
          <w:lang w:val="en-US"/>
        </w:rPr>
      </w:pPr>
      <w:r>
        <w:rPr>
          <w:lang w:val="en-US"/>
        </w:rPr>
        <w:t xml:space="preserve">The issue of equity </w:t>
      </w:r>
      <w:r w:rsidR="00213985">
        <w:rPr>
          <w:lang w:val="en-US"/>
        </w:rPr>
        <w:t xml:space="preserve">specifically </w:t>
      </w:r>
      <w:r>
        <w:rPr>
          <w:lang w:val="en-US"/>
        </w:rPr>
        <w:t xml:space="preserve">must therefore be addressed in the rating strategy, and this adopted </w:t>
      </w:r>
      <w:r w:rsidR="007D397A">
        <w:rPr>
          <w:lang w:val="en-US"/>
        </w:rPr>
        <w:t>strategy has paid careful attention to this aspect.</w:t>
      </w:r>
    </w:p>
    <w:p w:rsidR="007D397A" w:rsidRDefault="00493004" w:rsidP="00493004">
      <w:pPr>
        <w:pStyle w:val="Heading2"/>
      </w:pPr>
      <w:bookmarkStart w:id="14" w:name="_Toc499624665"/>
      <w:r>
        <w:t>2</w:t>
      </w:r>
      <w:r w:rsidR="007D397A">
        <w:t>.2 Principles of taxation – local government</w:t>
      </w:r>
      <w:bookmarkEnd w:id="14"/>
    </w:p>
    <w:p w:rsidR="007D397A" w:rsidRDefault="0019151A" w:rsidP="00F5730D">
      <w:pPr>
        <w:jc w:val="both"/>
        <w:rPr>
          <w:lang w:val="en-US"/>
        </w:rPr>
      </w:pPr>
      <w:r>
        <w:rPr>
          <w:lang w:val="en-US"/>
        </w:rPr>
        <w:t>Council</w:t>
      </w:r>
      <w:r w:rsidR="007D397A">
        <w:rPr>
          <w:lang w:val="en-US"/>
        </w:rPr>
        <w:t xml:space="preserve">s should first consider the objective in the Local Government Charter (Part 1A, S.3C (2) (f) of the Act), to ‘ensure the equitable imposition of rates and charges’ when selecting a rating strategy.  Having determined that </w:t>
      </w:r>
      <w:r>
        <w:rPr>
          <w:lang w:val="en-US"/>
        </w:rPr>
        <w:t>Council</w:t>
      </w:r>
      <w:r w:rsidR="007D397A">
        <w:rPr>
          <w:lang w:val="en-US"/>
        </w:rPr>
        <w:t xml:space="preserve"> must review its rating strategy in terms of the equitable imposition of rates and charges, it </w:t>
      </w:r>
      <w:r w:rsidR="00213985">
        <w:rPr>
          <w:lang w:val="en-US"/>
        </w:rPr>
        <w:t>must therefore define</w:t>
      </w:r>
      <w:r w:rsidR="007D397A">
        <w:rPr>
          <w:lang w:val="en-US"/>
        </w:rPr>
        <w:t xml:space="preserve"> and determine what is in fact </w:t>
      </w:r>
      <w:r w:rsidR="00213985">
        <w:rPr>
          <w:lang w:val="en-US"/>
        </w:rPr>
        <w:t>‘</w:t>
      </w:r>
      <w:r w:rsidR="007D397A">
        <w:rPr>
          <w:lang w:val="en-US"/>
        </w:rPr>
        <w:t>equitable</w:t>
      </w:r>
      <w:r w:rsidR="00213985">
        <w:rPr>
          <w:lang w:val="en-US"/>
        </w:rPr>
        <w:t>’</w:t>
      </w:r>
      <w:r w:rsidR="007D397A">
        <w:rPr>
          <w:lang w:val="en-US"/>
        </w:rPr>
        <w:t xml:space="preserve"> in the view of </w:t>
      </w:r>
      <w:r>
        <w:rPr>
          <w:lang w:val="en-US"/>
        </w:rPr>
        <w:t>Council</w:t>
      </w:r>
      <w:r w:rsidR="00213985">
        <w:rPr>
          <w:lang w:val="en-US"/>
        </w:rPr>
        <w:t xml:space="preserve"> when applied to property owners who ultimately are those who pay Council rates</w:t>
      </w:r>
      <w:r w:rsidR="007D397A">
        <w:rPr>
          <w:lang w:val="en-US"/>
        </w:rPr>
        <w:t>.</w:t>
      </w:r>
    </w:p>
    <w:p w:rsidR="007D397A" w:rsidRDefault="007D397A" w:rsidP="00F5730D">
      <w:pPr>
        <w:jc w:val="both"/>
        <w:rPr>
          <w:lang w:val="en-US"/>
        </w:rPr>
      </w:pPr>
    </w:p>
    <w:p w:rsidR="007D397A" w:rsidRDefault="007D397A" w:rsidP="00F5730D">
      <w:pPr>
        <w:jc w:val="both"/>
        <w:rPr>
          <w:lang w:val="en-US"/>
        </w:rPr>
      </w:pPr>
      <w:r>
        <w:rPr>
          <w:lang w:val="en-US"/>
        </w:rPr>
        <w:t xml:space="preserve">In considering the best-practice system of taxation, economists generally draw on </w:t>
      </w:r>
      <w:r w:rsidR="00493004">
        <w:rPr>
          <w:lang w:val="en-US"/>
        </w:rPr>
        <w:t>several</w:t>
      </w:r>
      <w:r>
        <w:rPr>
          <w:lang w:val="en-US"/>
        </w:rPr>
        <w:t xml:space="preserve"> design criteria or principles.  The principles summarized below are most significant in local government rating decisions:</w:t>
      </w:r>
    </w:p>
    <w:p w:rsidR="00CC6204" w:rsidRDefault="00CC6204" w:rsidP="00F5730D">
      <w:pPr>
        <w:jc w:val="both"/>
        <w:rPr>
          <w:lang w:val="en-US"/>
        </w:rPr>
      </w:pPr>
    </w:p>
    <w:p w:rsidR="00CC6204" w:rsidRDefault="00CC6204" w:rsidP="00F5730D">
      <w:pPr>
        <w:pStyle w:val="Heading3"/>
        <w:jc w:val="both"/>
      </w:pPr>
      <w:bookmarkStart w:id="15" w:name="_Toc499624666"/>
      <w:r>
        <w:t>Tax design principles</w:t>
      </w:r>
      <w:bookmarkEnd w:id="15"/>
    </w:p>
    <w:p w:rsidR="00CC6204" w:rsidRDefault="00CC6204" w:rsidP="00F5730D">
      <w:pPr>
        <w:jc w:val="both"/>
        <w:rPr>
          <w:lang w:val="en-GB"/>
        </w:rPr>
      </w:pPr>
      <w:r>
        <w:rPr>
          <w:b/>
          <w:i/>
          <w:lang w:val="en-GB"/>
        </w:rPr>
        <w:t xml:space="preserve">Equity: </w:t>
      </w:r>
      <w:r>
        <w:rPr>
          <w:lang w:val="en-GB"/>
        </w:rPr>
        <w:t>does the tax burden fall appropriately across different classes of ratepayers?</w:t>
      </w:r>
    </w:p>
    <w:p w:rsidR="00CC6204" w:rsidRDefault="00CC6204" w:rsidP="00F96372">
      <w:pPr>
        <w:pStyle w:val="NoSpacing"/>
        <w:numPr>
          <w:ilvl w:val="0"/>
          <w:numId w:val="4"/>
        </w:numPr>
        <w:rPr>
          <w:lang w:val="en-GB"/>
        </w:rPr>
      </w:pPr>
      <w:r>
        <w:rPr>
          <w:b/>
          <w:i/>
          <w:lang w:val="en-GB"/>
        </w:rPr>
        <w:t>The Benefit principle</w:t>
      </w:r>
      <w:r>
        <w:rPr>
          <w:lang w:val="en-GB"/>
        </w:rPr>
        <w:t xml:space="preserve"> – One of the more misunderstood elements of the rating system is that residents seek to equate the level of rates paid with the amount of benefit they individually achieve. The reality is however that rates are a system of taxation not dissimilar to P.A.Y.E tax.</w:t>
      </w:r>
      <w:r>
        <w:rPr>
          <w:lang w:val="en-GB"/>
        </w:rPr>
        <w:br/>
      </w:r>
      <w:r>
        <w:rPr>
          <w:lang w:val="en-GB"/>
        </w:rPr>
        <w:br/>
        <w:t xml:space="preserve">In paying a tax on salaries, </w:t>
      </w:r>
      <w:r w:rsidR="00995378">
        <w:rPr>
          <w:lang w:val="en-GB"/>
        </w:rPr>
        <w:t xml:space="preserve">the person paying the tax </w:t>
      </w:r>
      <w:r w:rsidR="00213985">
        <w:rPr>
          <w:lang w:val="en-GB"/>
        </w:rPr>
        <w:t>can similarly</w:t>
      </w:r>
      <w:r>
        <w:rPr>
          <w:lang w:val="en-GB"/>
        </w:rPr>
        <w:t xml:space="preserve"> question what benefit </w:t>
      </w:r>
      <w:r w:rsidR="00995378">
        <w:rPr>
          <w:lang w:val="en-GB"/>
        </w:rPr>
        <w:t xml:space="preserve">they </w:t>
      </w:r>
      <w:r w:rsidR="00213985">
        <w:rPr>
          <w:lang w:val="en-GB"/>
        </w:rPr>
        <w:t>receive personally</w:t>
      </w:r>
      <w:r w:rsidR="00995378">
        <w:rPr>
          <w:lang w:val="en-GB"/>
        </w:rPr>
        <w:t xml:space="preserve"> while</w:t>
      </w:r>
      <w:r w:rsidR="00213985">
        <w:rPr>
          <w:lang w:val="en-GB"/>
        </w:rPr>
        <w:t xml:space="preserve"> acknowledging </w:t>
      </w:r>
      <w:r>
        <w:rPr>
          <w:lang w:val="en-GB"/>
        </w:rPr>
        <w:t xml:space="preserve">that tax payments are required to pay for critical </w:t>
      </w:r>
      <w:r w:rsidR="00213985">
        <w:rPr>
          <w:lang w:val="en-GB"/>
        </w:rPr>
        <w:t xml:space="preserve">public </w:t>
      </w:r>
      <w:r>
        <w:rPr>
          <w:lang w:val="en-GB"/>
        </w:rPr>
        <w:t xml:space="preserve">services (Health, Education, etc.) across the </w:t>
      </w:r>
      <w:r w:rsidR="008F7E8B">
        <w:rPr>
          <w:lang w:val="en-GB"/>
        </w:rPr>
        <w:t>N</w:t>
      </w:r>
      <w:r>
        <w:rPr>
          <w:lang w:val="en-GB"/>
        </w:rPr>
        <w:t xml:space="preserve">ation.  Local Government </w:t>
      </w:r>
      <w:r w:rsidR="00AA763A">
        <w:rPr>
          <w:lang w:val="en-GB"/>
        </w:rPr>
        <w:t>similarly</w:t>
      </w:r>
      <w:r>
        <w:rPr>
          <w:lang w:val="en-GB"/>
        </w:rPr>
        <w:t xml:space="preserve"> with Rates</w:t>
      </w:r>
      <w:r w:rsidR="008F7E8B">
        <w:rPr>
          <w:lang w:val="en-GB"/>
        </w:rPr>
        <w:t>,</w:t>
      </w:r>
      <w:r>
        <w:rPr>
          <w:lang w:val="en-GB"/>
        </w:rPr>
        <w:t xml:space="preserve"> </w:t>
      </w:r>
      <w:r w:rsidR="00493004">
        <w:rPr>
          <w:lang w:val="en-GB"/>
        </w:rPr>
        <w:t>hav</w:t>
      </w:r>
      <w:r w:rsidR="008F7E8B">
        <w:rPr>
          <w:lang w:val="en-GB"/>
        </w:rPr>
        <w:t>e some rate payers paying more than the direct services they receive in order</w:t>
      </w:r>
      <w:r w:rsidR="00493004">
        <w:rPr>
          <w:lang w:val="en-GB"/>
        </w:rPr>
        <w:t xml:space="preserve"> to</w:t>
      </w:r>
      <w:r>
        <w:rPr>
          <w:lang w:val="en-GB"/>
        </w:rPr>
        <w:t xml:space="preserve"> subsidise the delivery of </w:t>
      </w:r>
      <w:r w:rsidR="00AA763A">
        <w:rPr>
          <w:lang w:val="en-GB"/>
        </w:rPr>
        <w:t xml:space="preserve">public </w:t>
      </w:r>
      <w:r>
        <w:rPr>
          <w:lang w:val="en-GB"/>
        </w:rPr>
        <w:t xml:space="preserve">services and capital works </w:t>
      </w:r>
      <w:r w:rsidR="008F7E8B">
        <w:rPr>
          <w:lang w:val="en-GB"/>
        </w:rPr>
        <w:t xml:space="preserve">to those in the community who need them but could not otherwise afford them </w:t>
      </w:r>
      <w:r w:rsidR="00DC595C">
        <w:rPr>
          <w:lang w:val="en-GB"/>
        </w:rPr>
        <w:t xml:space="preserve">or </w:t>
      </w:r>
      <w:r w:rsidR="008F7E8B">
        <w:rPr>
          <w:lang w:val="en-GB"/>
        </w:rPr>
        <w:t xml:space="preserve">for services such as parks maintenance and leisure facilities which are otherwise be </w:t>
      </w:r>
      <w:r w:rsidR="00DC595C">
        <w:rPr>
          <w:lang w:val="en-GB"/>
        </w:rPr>
        <w:t>unavailable through private services</w:t>
      </w:r>
      <w:r>
        <w:rPr>
          <w:lang w:val="en-GB"/>
        </w:rPr>
        <w:t>.</w:t>
      </w:r>
      <w:r>
        <w:rPr>
          <w:lang w:val="en-GB"/>
        </w:rPr>
        <w:br/>
      </w:r>
      <w:r>
        <w:rPr>
          <w:lang w:val="en-GB"/>
        </w:rPr>
        <w:br/>
        <w:t xml:space="preserve">It is </w:t>
      </w:r>
      <w:r w:rsidR="0019151A">
        <w:rPr>
          <w:lang w:val="en-GB"/>
        </w:rPr>
        <w:t>Council</w:t>
      </w:r>
      <w:r w:rsidR="00DC595C">
        <w:rPr>
          <w:lang w:val="en-GB"/>
        </w:rPr>
        <w:t xml:space="preserve">’s choice as to the </w:t>
      </w:r>
      <w:r>
        <w:rPr>
          <w:lang w:val="en-GB"/>
        </w:rPr>
        <w:t xml:space="preserve">degree it wishes to pursue a ‘user pays’ philosophy in relation to </w:t>
      </w:r>
      <w:r w:rsidR="00DC595C">
        <w:rPr>
          <w:lang w:val="en-GB"/>
        </w:rPr>
        <w:t xml:space="preserve">the </w:t>
      </w:r>
      <w:r>
        <w:rPr>
          <w:lang w:val="en-GB"/>
        </w:rPr>
        <w:t xml:space="preserve">charging for individual services on a fee-for-service basis.  Similarly, </w:t>
      </w:r>
      <w:r w:rsidR="0019151A">
        <w:rPr>
          <w:lang w:val="en-GB"/>
        </w:rPr>
        <w:t>Council</w:t>
      </w:r>
      <w:r>
        <w:rPr>
          <w:lang w:val="en-GB"/>
        </w:rPr>
        <w:t xml:space="preserve"> must make a rating decision in terms of whether to use a fixed waste charge to reflect the cost of waste collection or a fixed municipal charge to cover the administrative costs of </w:t>
      </w:r>
      <w:r w:rsidR="0019151A">
        <w:rPr>
          <w:lang w:val="en-GB"/>
        </w:rPr>
        <w:t>Council</w:t>
      </w:r>
      <w:r>
        <w:rPr>
          <w:lang w:val="en-GB"/>
        </w:rPr>
        <w:t xml:space="preserve">.  </w:t>
      </w:r>
      <w:r w:rsidR="00DC595C">
        <w:rPr>
          <w:lang w:val="en-GB"/>
        </w:rPr>
        <w:t>B</w:t>
      </w:r>
      <w:r w:rsidR="00493004">
        <w:rPr>
          <w:lang w:val="en-GB"/>
        </w:rPr>
        <w:t>oth</w:t>
      </w:r>
      <w:r>
        <w:rPr>
          <w:lang w:val="en-GB"/>
        </w:rPr>
        <w:t xml:space="preserve"> choices are discussed later in the Rating Strategy.</w:t>
      </w:r>
      <w:r w:rsidR="00AB4E68">
        <w:rPr>
          <w:lang w:val="en-GB"/>
        </w:rPr>
        <w:br/>
      </w:r>
    </w:p>
    <w:p w:rsidR="00AB4E68" w:rsidRDefault="00AB4E68" w:rsidP="00DC595C">
      <w:pPr>
        <w:pStyle w:val="NoSpacing"/>
        <w:numPr>
          <w:ilvl w:val="0"/>
          <w:numId w:val="4"/>
        </w:numPr>
        <w:rPr>
          <w:lang w:val="en-GB"/>
        </w:rPr>
      </w:pPr>
      <w:r>
        <w:rPr>
          <w:b/>
          <w:i/>
          <w:lang w:val="en-GB"/>
        </w:rPr>
        <w:t xml:space="preserve">Linkage of property wealth to capacity to pay </w:t>
      </w:r>
      <w:r>
        <w:rPr>
          <w:lang w:val="en-GB"/>
        </w:rPr>
        <w:t xml:space="preserve">– the valuation of property is an imperfect </w:t>
      </w:r>
      <w:r w:rsidR="00DC595C">
        <w:rPr>
          <w:lang w:val="en-GB"/>
        </w:rPr>
        <w:t xml:space="preserve">but the only </w:t>
      </w:r>
      <w:r>
        <w:rPr>
          <w:lang w:val="en-GB"/>
        </w:rPr>
        <w:t xml:space="preserve">system </w:t>
      </w:r>
      <w:r w:rsidR="00DC595C">
        <w:rPr>
          <w:lang w:val="en-GB"/>
        </w:rPr>
        <w:t xml:space="preserve">it has available in </w:t>
      </w:r>
      <w:r>
        <w:rPr>
          <w:lang w:val="en-GB"/>
        </w:rPr>
        <w:t xml:space="preserve">which to assess a resident’s ability to pay annual rates but one which </w:t>
      </w:r>
      <w:r w:rsidR="0019151A">
        <w:rPr>
          <w:lang w:val="en-GB"/>
        </w:rPr>
        <w:t>Council</w:t>
      </w:r>
      <w:r>
        <w:rPr>
          <w:lang w:val="en-GB"/>
        </w:rPr>
        <w:t xml:space="preserve"> is restricted to under the </w:t>
      </w:r>
      <w:r w:rsidR="00635A1F" w:rsidRPr="00635A1F">
        <w:rPr>
          <w:i/>
          <w:lang w:val="en-GB"/>
        </w:rPr>
        <w:t>Local Government Act</w:t>
      </w:r>
      <w:r>
        <w:rPr>
          <w:lang w:val="en-GB"/>
        </w:rPr>
        <w:t xml:space="preserve"> (1989).  A frequently raised example is in relation to pensioners who may live in their family home which carries a high </w:t>
      </w:r>
      <w:r w:rsidR="00DC595C">
        <w:rPr>
          <w:lang w:val="en-GB"/>
        </w:rPr>
        <w:t xml:space="preserve">property </w:t>
      </w:r>
      <w:r>
        <w:rPr>
          <w:lang w:val="en-GB"/>
        </w:rPr>
        <w:t>value, but live on a pension.  The equity question for consider</w:t>
      </w:r>
      <w:r w:rsidR="00AF2017">
        <w:rPr>
          <w:lang w:val="en-GB"/>
        </w:rPr>
        <w:t xml:space="preserve">ation however is should </w:t>
      </w:r>
      <w:r w:rsidR="0019151A">
        <w:rPr>
          <w:lang w:val="en-GB"/>
        </w:rPr>
        <w:t>Council</w:t>
      </w:r>
      <w:r w:rsidR="00AF2017">
        <w:rPr>
          <w:lang w:val="en-GB"/>
        </w:rPr>
        <w:t xml:space="preserve"> support residents in this situation with lower rates that will eventually be to the financial benefit of estate beneficiaries?  Or alternatively should the ability to defer rates (in all or in part) represent a more equitable outcome for all ratepayers?</w:t>
      </w:r>
      <w:r w:rsidR="00AF2017">
        <w:rPr>
          <w:lang w:val="en-GB"/>
        </w:rPr>
        <w:br/>
      </w:r>
    </w:p>
    <w:p w:rsidR="008F7E8B" w:rsidRPr="008F7E8B" w:rsidRDefault="00AF2017" w:rsidP="008F7E8B">
      <w:pPr>
        <w:jc w:val="both"/>
        <w:rPr>
          <w:b/>
          <w:i/>
          <w:lang w:val="en-GB"/>
        </w:rPr>
      </w:pPr>
      <w:r>
        <w:rPr>
          <w:b/>
          <w:i/>
          <w:lang w:val="en-GB"/>
        </w:rPr>
        <w:t>Simplicity:</w:t>
      </w:r>
      <w:r w:rsidR="008F7E8B">
        <w:rPr>
          <w:b/>
          <w:i/>
          <w:lang w:val="en-GB"/>
        </w:rPr>
        <w:t xml:space="preserve"> </w:t>
      </w:r>
      <w:r w:rsidR="008F7E8B">
        <w:rPr>
          <w:lang w:val="en-GB"/>
        </w:rPr>
        <w:t>–</w:t>
      </w:r>
      <w:r w:rsidR="008F7E8B">
        <w:rPr>
          <w:b/>
          <w:i/>
          <w:lang w:val="en-GB"/>
        </w:rPr>
        <w:t xml:space="preserve"> </w:t>
      </w:r>
      <w:r w:rsidR="008F7E8B">
        <w:rPr>
          <w:lang w:val="en-GB"/>
        </w:rPr>
        <w:t>The questions to answer under this design principle include is the system:</w:t>
      </w:r>
    </w:p>
    <w:p w:rsidR="00AF2017" w:rsidRPr="00AF2017" w:rsidRDefault="00AF2017" w:rsidP="00F96372">
      <w:pPr>
        <w:pStyle w:val="NoSpacing"/>
        <w:numPr>
          <w:ilvl w:val="0"/>
          <w:numId w:val="11"/>
        </w:numPr>
        <w:rPr>
          <w:b/>
          <w:i/>
          <w:lang w:val="en-GB"/>
        </w:rPr>
      </w:pPr>
      <w:r>
        <w:rPr>
          <w:lang w:val="en-GB"/>
        </w:rPr>
        <w:t>practical and cost-effective to administer and enforce?</w:t>
      </w:r>
    </w:p>
    <w:p w:rsidR="008F7E8B" w:rsidRPr="008F7E8B" w:rsidRDefault="00AF2017" w:rsidP="00F96372">
      <w:pPr>
        <w:pStyle w:val="NoSpacing"/>
        <w:numPr>
          <w:ilvl w:val="0"/>
          <w:numId w:val="11"/>
        </w:numPr>
        <w:rPr>
          <w:b/>
          <w:i/>
          <w:lang w:val="en-GB"/>
        </w:rPr>
      </w:pPr>
      <w:r>
        <w:rPr>
          <w:lang w:val="en-GB"/>
        </w:rPr>
        <w:t>simple to understand and comply with?</w:t>
      </w:r>
      <w:r w:rsidR="00DC595C">
        <w:rPr>
          <w:lang w:val="en-GB"/>
        </w:rPr>
        <w:t xml:space="preserve"> </w:t>
      </w:r>
    </w:p>
    <w:p w:rsidR="00AF2017" w:rsidRPr="00AF2017" w:rsidRDefault="00DC595C" w:rsidP="008F7E8B">
      <w:pPr>
        <w:pStyle w:val="NoSpacing"/>
        <w:ind w:left="720"/>
        <w:rPr>
          <w:b/>
          <w:i/>
          <w:lang w:val="en-GB"/>
        </w:rPr>
      </w:pPr>
      <w:r>
        <w:rPr>
          <w:lang w:val="en-GB"/>
        </w:rPr>
        <w:t>If not, the cost of running the system will outweigh the use of the system</w:t>
      </w:r>
      <w:r w:rsidR="00AF2017">
        <w:rPr>
          <w:lang w:val="en-GB"/>
        </w:rPr>
        <w:br/>
      </w:r>
    </w:p>
    <w:p w:rsidR="00AF2017" w:rsidRDefault="00AF2017" w:rsidP="00F5730D">
      <w:pPr>
        <w:jc w:val="both"/>
        <w:rPr>
          <w:lang w:val="en-GB"/>
        </w:rPr>
      </w:pPr>
      <w:r>
        <w:rPr>
          <w:b/>
          <w:i/>
          <w:lang w:val="en-GB"/>
        </w:rPr>
        <w:t xml:space="preserve">Efficiency: </w:t>
      </w:r>
      <w:r w:rsidR="00DC595C" w:rsidRPr="00F80CAD">
        <w:rPr>
          <w:lang w:val="en-GB"/>
        </w:rPr>
        <w:t>D</w:t>
      </w:r>
      <w:r>
        <w:rPr>
          <w:lang w:val="en-GB"/>
        </w:rPr>
        <w:t>oes the rating methodology significantly distort property ownership and development decisions in a way that results in significant efficiency costs?</w:t>
      </w:r>
      <w:r w:rsidR="00DC595C">
        <w:rPr>
          <w:lang w:val="en-GB"/>
        </w:rPr>
        <w:t xml:space="preserve"> If so, the methodology is not </w:t>
      </w:r>
      <w:r w:rsidR="00F80CAD">
        <w:rPr>
          <w:lang w:val="en-GB"/>
        </w:rPr>
        <w:t>providing</w:t>
      </w:r>
      <w:r w:rsidR="00DC595C">
        <w:rPr>
          <w:lang w:val="en-GB"/>
        </w:rPr>
        <w:t xml:space="preserve"> property owners with benefits</w:t>
      </w:r>
      <w:r w:rsidR="008F7E8B">
        <w:rPr>
          <w:lang w:val="en-GB"/>
        </w:rPr>
        <w:t>.</w:t>
      </w:r>
    </w:p>
    <w:p w:rsidR="00AF2017" w:rsidRDefault="00AF2017" w:rsidP="00F5730D">
      <w:pPr>
        <w:jc w:val="both"/>
        <w:rPr>
          <w:lang w:val="en-GB"/>
        </w:rPr>
      </w:pPr>
    </w:p>
    <w:p w:rsidR="00AF2017" w:rsidRDefault="00AF2017" w:rsidP="00F5730D">
      <w:pPr>
        <w:jc w:val="both"/>
        <w:rPr>
          <w:lang w:val="en-GB"/>
        </w:rPr>
      </w:pPr>
      <w:r>
        <w:rPr>
          <w:b/>
          <w:i/>
          <w:lang w:val="en-GB"/>
        </w:rPr>
        <w:t xml:space="preserve">Sustainability: </w:t>
      </w:r>
      <w:r w:rsidR="00F80CAD" w:rsidRPr="00F80CAD">
        <w:rPr>
          <w:lang w:val="en-GB"/>
        </w:rPr>
        <w:t>D</w:t>
      </w:r>
      <w:r>
        <w:rPr>
          <w:lang w:val="en-GB"/>
        </w:rPr>
        <w:t xml:space="preserve">oes the system generate sustainable, reliable revenues for </w:t>
      </w:r>
      <w:r w:rsidR="0019151A">
        <w:rPr>
          <w:lang w:val="en-GB"/>
        </w:rPr>
        <w:t>Council</w:t>
      </w:r>
      <w:r>
        <w:rPr>
          <w:lang w:val="en-GB"/>
        </w:rPr>
        <w:t>s and is it durable and flexible in changing conditions (that is, can it adequately withstand volatility)?</w:t>
      </w:r>
      <w:r w:rsidR="00F80CAD">
        <w:rPr>
          <w:lang w:val="en-GB"/>
        </w:rPr>
        <w:t xml:space="preserve"> If not, there will be too much uncertainty for decision makers</w:t>
      </w:r>
      <w:r w:rsidR="008F7E8B">
        <w:rPr>
          <w:lang w:val="en-GB"/>
        </w:rPr>
        <w:t>.</w:t>
      </w:r>
    </w:p>
    <w:p w:rsidR="00AF2017" w:rsidRDefault="00AF2017" w:rsidP="00F5730D">
      <w:pPr>
        <w:jc w:val="both"/>
        <w:rPr>
          <w:lang w:val="en-GB"/>
        </w:rPr>
      </w:pPr>
    </w:p>
    <w:p w:rsidR="00AF2017" w:rsidRDefault="00AF2017" w:rsidP="00F5730D">
      <w:pPr>
        <w:jc w:val="both"/>
        <w:rPr>
          <w:lang w:val="en-GB"/>
        </w:rPr>
      </w:pPr>
      <w:r>
        <w:rPr>
          <w:b/>
          <w:i/>
          <w:lang w:val="en-GB"/>
        </w:rPr>
        <w:t xml:space="preserve">Cross-border competitiveness:  </w:t>
      </w:r>
      <w:r>
        <w:rPr>
          <w:lang w:val="en-GB"/>
        </w:rPr>
        <w:t xml:space="preserve">to what extent does the rating system undermine the competitiveness of the </w:t>
      </w:r>
      <w:r w:rsidR="0019151A">
        <w:rPr>
          <w:lang w:val="en-GB"/>
        </w:rPr>
        <w:t>Council</w:t>
      </w:r>
      <w:r>
        <w:rPr>
          <w:lang w:val="en-GB"/>
        </w:rPr>
        <w:t>/state as a place to live and/or own a property or operate a business?</w:t>
      </w:r>
      <w:r w:rsidR="008F7E8B">
        <w:rPr>
          <w:lang w:val="en-GB"/>
        </w:rPr>
        <w:t xml:space="preserve"> Council</w:t>
      </w:r>
      <w:r w:rsidR="00F80CAD">
        <w:rPr>
          <w:lang w:val="en-GB"/>
        </w:rPr>
        <w:t>s wish to ensure property owners within the municipality are not disadvantaged relative to other municipalites.</w:t>
      </w:r>
    </w:p>
    <w:p w:rsidR="00AF2017" w:rsidRDefault="00AF2017" w:rsidP="00F5730D">
      <w:pPr>
        <w:jc w:val="both"/>
        <w:rPr>
          <w:lang w:val="en-GB"/>
        </w:rPr>
      </w:pPr>
    </w:p>
    <w:p w:rsidR="00AF2017" w:rsidRDefault="00AF2017" w:rsidP="00F5730D">
      <w:pPr>
        <w:jc w:val="both"/>
        <w:rPr>
          <w:lang w:val="en-GB"/>
        </w:rPr>
      </w:pPr>
      <w:r>
        <w:rPr>
          <w:b/>
          <w:i/>
          <w:lang w:val="en-GB"/>
        </w:rPr>
        <w:t xml:space="preserve">Competitive neutrality:  </w:t>
      </w:r>
      <w:r>
        <w:rPr>
          <w:lang w:val="en-GB"/>
        </w:rPr>
        <w:t>are all businesses conducting similar activities treated in similar ways within the municipality?</w:t>
      </w:r>
      <w:r w:rsidR="00F80CAD">
        <w:rPr>
          <w:lang w:val="en-GB"/>
        </w:rPr>
        <w:t xml:space="preserve"> Principals of equity are paramount within </w:t>
      </w:r>
      <w:r w:rsidR="008F7E8B">
        <w:rPr>
          <w:lang w:val="en-GB"/>
        </w:rPr>
        <w:t>the</w:t>
      </w:r>
      <w:r w:rsidR="00F80CAD">
        <w:rPr>
          <w:lang w:val="en-GB"/>
        </w:rPr>
        <w:t xml:space="preserve"> democratic society</w:t>
      </w:r>
      <w:r w:rsidR="008F7E8B">
        <w:rPr>
          <w:lang w:val="en-GB"/>
        </w:rPr>
        <w:t xml:space="preserve"> in which we live.</w:t>
      </w:r>
    </w:p>
    <w:p w:rsidR="00E659EF" w:rsidRDefault="00E659EF" w:rsidP="00F5730D">
      <w:pPr>
        <w:jc w:val="both"/>
        <w:rPr>
          <w:lang w:val="en-GB"/>
        </w:rPr>
      </w:pPr>
    </w:p>
    <w:p w:rsidR="00E659EF" w:rsidRDefault="00481DCC" w:rsidP="00F5730D">
      <w:pPr>
        <w:jc w:val="both"/>
        <w:rPr>
          <w:lang w:val="en-GB"/>
        </w:rPr>
      </w:pPr>
      <w:r>
        <w:rPr>
          <w:lang w:val="en-GB"/>
        </w:rPr>
        <w:t>When s</w:t>
      </w:r>
      <w:r w:rsidR="00E659EF">
        <w:rPr>
          <w:lang w:val="en-GB"/>
        </w:rPr>
        <w:t xml:space="preserve">imultaneously applying </w:t>
      </w:r>
      <w:r w:rsidR="00493004">
        <w:rPr>
          <w:lang w:val="en-GB"/>
        </w:rPr>
        <w:t>all</w:t>
      </w:r>
      <w:r w:rsidR="00E659EF">
        <w:rPr>
          <w:lang w:val="en-GB"/>
        </w:rPr>
        <w:t xml:space="preserve"> these criteria </w:t>
      </w:r>
      <w:r w:rsidR="009A40FF">
        <w:rPr>
          <w:lang w:val="en-GB"/>
        </w:rPr>
        <w:t xml:space="preserve">it is imperative to ensure </w:t>
      </w:r>
      <w:r w:rsidR="008F7E8B">
        <w:rPr>
          <w:lang w:val="en-GB"/>
        </w:rPr>
        <w:t xml:space="preserve">an </w:t>
      </w:r>
      <w:r w:rsidR="009A40FF">
        <w:rPr>
          <w:lang w:val="en-GB"/>
        </w:rPr>
        <w:t>as balance</w:t>
      </w:r>
      <w:r w:rsidR="008F7E8B">
        <w:rPr>
          <w:lang w:val="en-GB"/>
        </w:rPr>
        <w:t>d</w:t>
      </w:r>
      <w:r w:rsidR="009A40FF">
        <w:rPr>
          <w:lang w:val="en-GB"/>
        </w:rPr>
        <w:t xml:space="preserve"> an approach as possible</w:t>
      </w:r>
      <w:r w:rsidR="00493004">
        <w:rPr>
          <w:lang w:val="en-GB"/>
        </w:rPr>
        <w:t xml:space="preserve">.  The </w:t>
      </w:r>
      <w:r w:rsidR="00E659EF">
        <w:rPr>
          <w:lang w:val="en-GB"/>
        </w:rPr>
        <w:t>mos</w:t>
      </w:r>
      <w:r w:rsidR="00493004">
        <w:rPr>
          <w:lang w:val="en-GB"/>
        </w:rPr>
        <w:t>t</w:t>
      </w:r>
      <w:r w:rsidR="00E659EF">
        <w:rPr>
          <w:lang w:val="en-GB"/>
        </w:rPr>
        <w:t xml:space="preserve"> efficient system may place an excessive bu</w:t>
      </w:r>
      <w:r w:rsidR="00493004">
        <w:rPr>
          <w:lang w:val="en-GB"/>
        </w:rPr>
        <w:t>r</w:t>
      </w:r>
      <w:r w:rsidR="00E659EF">
        <w:rPr>
          <w:lang w:val="en-GB"/>
        </w:rPr>
        <w:t xml:space="preserve">den on segments of the community where, from an equity point of view, this is not desirable.  Alternatively, it may be too expensive for </w:t>
      </w:r>
      <w:r w:rsidR="0019151A">
        <w:rPr>
          <w:lang w:val="en-GB"/>
        </w:rPr>
        <w:t>Council</w:t>
      </w:r>
      <w:r w:rsidR="00E659EF">
        <w:rPr>
          <w:lang w:val="en-GB"/>
        </w:rPr>
        <w:t>s to administer, or for ratepayers to reasonable understand.</w:t>
      </w:r>
    </w:p>
    <w:p w:rsidR="00E659EF" w:rsidRDefault="00E659EF" w:rsidP="00493004">
      <w:pPr>
        <w:rPr>
          <w:lang w:val="en-GB"/>
        </w:rPr>
      </w:pPr>
    </w:p>
    <w:p w:rsidR="007D397A" w:rsidRPr="00C836E3" w:rsidRDefault="00E659EF" w:rsidP="00F5730D">
      <w:pPr>
        <w:jc w:val="both"/>
        <w:rPr>
          <w:lang w:val="en-GB"/>
        </w:rPr>
      </w:pPr>
      <w:r>
        <w:rPr>
          <w:lang w:val="en-GB"/>
        </w:rPr>
        <w:t>Therefore, the design challenge is one of appropriately balancing competing considerations</w:t>
      </w:r>
      <w:r w:rsidR="009A40FF">
        <w:rPr>
          <w:lang w:val="en-GB"/>
        </w:rPr>
        <w:t xml:space="preserve"> in such a way as to ensure the greatest equity for all property owners</w:t>
      </w:r>
      <w:r>
        <w:rPr>
          <w:lang w:val="en-GB"/>
        </w:rPr>
        <w:t xml:space="preserve">.  That is, the preferred design of the rating system, and the extent to which it satisfies the criteria above, hinges on the weight the </w:t>
      </w:r>
      <w:r w:rsidR="0019151A">
        <w:rPr>
          <w:lang w:val="en-GB"/>
        </w:rPr>
        <w:t>Council</w:t>
      </w:r>
      <w:r>
        <w:rPr>
          <w:lang w:val="en-GB"/>
        </w:rPr>
        <w:t xml:space="preserve"> assign</w:t>
      </w:r>
      <w:r w:rsidR="00E0711A">
        <w:rPr>
          <w:lang w:val="en-GB"/>
        </w:rPr>
        <w:t>s</w:t>
      </w:r>
      <w:r>
        <w:rPr>
          <w:lang w:val="en-GB"/>
        </w:rPr>
        <w:t xml:space="preserve"> to different criteria.</w:t>
      </w:r>
    </w:p>
    <w:p w:rsidR="00493004" w:rsidRDefault="00493004" w:rsidP="00493004">
      <w:pPr>
        <w:pStyle w:val="Heading2"/>
      </w:pPr>
      <w:bookmarkStart w:id="16" w:name="_Toc499624667"/>
      <w:r>
        <w:t xml:space="preserve">2.3 What Rates and Charges may a </w:t>
      </w:r>
      <w:r w:rsidR="0019151A">
        <w:t>Council</w:t>
      </w:r>
      <w:r>
        <w:t xml:space="preserve"> declare?</w:t>
      </w:r>
      <w:bookmarkEnd w:id="16"/>
    </w:p>
    <w:p w:rsidR="00493004" w:rsidRDefault="00493004" w:rsidP="00F5730D">
      <w:pPr>
        <w:spacing w:after="60"/>
        <w:jc w:val="both"/>
        <w:rPr>
          <w:lang w:val="en-US"/>
        </w:rPr>
      </w:pPr>
      <w:r>
        <w:rPr>
          <w:lang w:val="en-US"/>
        </w:rPr>
        <w:t xml:space="preserve">Section 155 of the </w:t>
      </w:r>
      <w:r w:rsidR="00635A1F" w:rsidRPr="00635A1F">
        <w:rPr>
          <w:i/>
          <w:lang w:val="en-US"/>
        </w:rPr>
        <w:t>Local Government Act</w:t>
      </w:r>
      <w:r>
        <w:rPr>
          <w:lang w:val="en-US"/>
        </w:rPr>
        <w:t xml:space="preserve"> (1989) provides that a </w:t>
      </w:r>
      <w:r w:rsidR="0019151A">
        <w:rPr>
          <w:lang w:val="en-US"/>
        </w:rPr>
        <w:t>Council</w:t>
      </w:r>
      <w:r>
        <w:rPr>
          <w:lang w:val="en-US"/>
        </w:rPr>
        <w:t xml:space="preserve"> may declare the following rates and charges on rateable land –</w:t>
      </w:r>
    </w:p>
    <w:p w:rsidR="00493004" w:rsidRDefault="00493004" w:rsidP="00F96372">
      <w:pPr>
        <w:pStyle w:val="NoSpacing"/>
        <w:numPr>
          <w:ilvl w:val="0"/>
          <w:numId w:val="12"/>
        </w:numPr>
        <w:rPr>
          <w:lang w:val="en-US"/>
        </w:rPr>
      </w:pPr>
      <w:r>
        <w:rPr>
          <w:lang w:val="en-US"/>
        </w:rPr>
        <w:t>General rates under Section 158;</w:t>
      </w:r>
    </w:p>
    <w:p w:rsidR="00493004" w:rsidRDefault="00493004" w:rsidP="00F96372">
      <w:pPr>
        <w:pStyle w:val="NoSpacing"/>
        <w:numPr>
          <w:ilvl w:val="0"/>
          <w:numId w:val="12"/>
        </w:numPr>
        <w:rPr>
          <w:lang w:val="en-US"/>
        </w:rPr>
      </w:pPr>
      <w:r>
        <w:rPr>
          <w:lang w:val="en-US"/>
        </w:rPr>
        <w:t>Municipal Charges under Section 159;</w:t>
      </w:r>
    </w:p>
    <w:p w:rsidR="00493004" w:rsidRDefault="00493004" w:rsidP="00F96372">
      <w:pPr>
        <w:pStyle w:val="NoSpacing"/>
        <w:numPr>
          <w:ilvl w:val="0"/>
          <w:numId w:val="12"/>
        </w:numPr>
        <w:rPr>
          <w:lang w:val="en-US"/>
        </w:rPr>
      </w:pPr>
      <w:r>
        <w:rPr>
          <w:lang w:val="en-US"/>
        </w:rPr>
        <w:t>Service Rates and Charges under Section 162;</w:t>
      </w:r>
    </w:p>
    <w:p w:rsidR="00493004" w:rsidRDefault="00493004" w:rsidP="00F96372">
      <w:pPr>
        <w:pStyle w:val="NoSpacing"/>
        <w:numPr>
          <w:ilvl w:val="0"/>
          <w:numId w:val="12"/>
        </w:numPr>
        <w:rPr>
          <w:lang w:val="en-US"/>
        </w:rPr>
      </w:pPr>
      <w:r>
        <w:rPr>
          <w:lang w:val="en-US"/>
        </w:rPr>
        <w:t>Special rates and charges under Section 163.</w:t>
      </w:r>
      <w:r>
        <w:rPr>
          <w:lang w:val="en-US"/>
        </w:rPr>
        <w:br/>
      </w:r>
    </w:p>
    <w:p w:rsidR="00493004" w:rsidRDefault="00493004" w:rsidP="00F5730D">
      <w:pPr>
        <w:jc w:val="both"/>
        <w:rPr>
          <w:lang w:val="en-US"/>
        </w:rPr>
      </w:pPr>
      <w:r>
        <w:rPr>
          <w:lang w:val="en-US"/>
        </w:rPr>
        <w:t>The recommended strategy in relation to municipal charges, service rates and charges and special rates and charges are di</w:t>
      </w:r>
      <w:r w:rsidR="00C836E3">
        <w:rPr>
          <w:lang w:val="en-US"/>
        </w:rPr>
        <w:t>scussed later in this document.</w:t>
      </w:r>
    </w:p>
    <w:p w:rsidR="00493004" w:rsidRDefault="00493004" w:rsidP="00493004">
      <w:pPr>
        <w:pStyle w:val="Heading2"/>
      </w:pPr>
      <w:bookmarkStart w:id="17" w:name="_Toc499624668"/>
      <w:r>
        <w:t>2.4</w:t>
      </w:r>
      <w:r w:rsidR="00EB7021">
        <w:t xml:space="preserve"> Valuation Methodology available to </w:t>
      </w:r>
      <w:r w:rsidR="0019151A">
        <w:t>Council</w:t>
      </w:r>
      <w:bookmarkEnd w:id="17"/>
    </w:p>
    <w:p w:rsidR="00EB7021" w:rsidRDefault="00EB7021" w:rsidP="00F5730D">
      <w:pPr>
        <w:pStyle w:val="NoSpacing"/>
        <w:jc w:val="both"/>
        <w:rPr>
          <w:lang w:val="en-US"/>
        </w:rPr>
      </w:pPr>
      <w:r>
        <w:rPr>
          <w:lang w:val="en-US"/>
        </w:rPr>
        <w:t xml:space="preserve">In raising </w:t>
      </w:r>
      <w:r w:rsidR="0019151A">
        <w:rPr>
          <w:lang w:val="en-US"/>
        </w:rPr>
        <w:t>Council</w:t>
      </w:r>
      <w:r>
        <w:rPr>
          <w:lang w:val="en-US"/>
        </w:rPr>
        <w:t xml:space="preserve"> rates, </w:t>
      </w:r>
      <w:r w:rsidR="0019151A">
        <w:rPr>
          <w:lang w:val="en-US"/>
        </w:rPr>
        <w:t>Council</w:t>
      </w:r>
      <w:r>
        <w:rPr>
          <w:lang w:val="en-US"/>
        </w:rPr>
        <w:t xml:space="preserve"> is required to primarily use the valuation of the rateable property to levy rates.</w:t>
      </w:r>
    </w:p>
    <w:p w:rsidR="00EB7021" w:rsidRDefault="00EB7021" w:rsidP="00F5730D">
      <w:pPr>
        <w:pStyle w:val="NoSpacing"/>
        <w:jc w:val="both"/>
        <w:rPr>
          <w:lang w:val="en-US"/>
        </w:rPr>
      </w:pPr>
    </w:p>
    <w:p w:rsidR="00EB7021" w:rsidRDefault="00EB7021" w:rsidP="00F5730D">
      <w:pPr>
        <w:pStyle w:val="NoSpacing"/>
        <w:jc w:val="both"/>
        <w:rPr>
          <w:lang w:val="en-US"/>
        </w:rPr>
      </w:pPr>
      <w:r>
        <w:rPr>
          <w:lang w:val="en-US"/>
        </w:rPr>
        <w:t xml:space="preserve">Section 157 (1) of the </w:t>
      </w:r>
      <w:r w:rsidR="00635A1F" w:rsidRPr="00635A1F">
        <w:rPr>
          <w:i/>
          <w:lang w:val="en-US"/>
        </w:rPr>
        <w:t>Local Government Act</w:t>
      </w:r>
      <w:r>
        <w:rPr>
          <w:lang w:val="en-US"/>
        </w:rPr>
        <w:t xml:space="preserve"> (1989) provides </w:t>
      </w:r>
      <w:r w:rsidR="0019151A">
        <w:rPr>
          <w:lang w:val="en-US"/>
        </w:rPr>
        <w:t>Council</w:t>
      </w:r>
      <w:r>
        <w:rPr>
          <w:lang w:val="en-US"/>
        </w:rPr>
        <w:t xml:space="preserve"> with three choices in terms of which valuation base to utilize.  They are Site Valuation, Ca</w:t>
      </w:r>
      <w:r w:rsidR="004D194E">
        <w:rPr>
          <w:lang w:val="en-US"/>
        </w:rPr>
        <w:t>pital Improved Valuation, and Ne</w:t>
      </w:r>
      <w:r>
        <w:rPr>
          <w:lang w:val="en-US"/>
        </w:rPr>
        <w:t>t Annual Value.  The advantages and disadvantages of the respective valuations are discussed</w:t>
      </w:r>
      <w:r w:rsidR="00C836E3">
        <w:rPr>
          <w:lang w:val="en-US"/>
        </w:rPr>
        <w:t xml:space="preserve"> in Section 3 of this Strategy.</w:t>
      </w:r>
    </w:p>
    <w:p w:rsidR="00EB7021" w:rsidRDefault="00EB7021" w:rsidP="00EB7021">
      <w:pPr>
        <w:pStyle w:val="Heading2"/>
      </w:pPr>
      <w:bookmarkStart w:id="18" w:name="_Toc499624669"/>
      <w:r>
        <w:t>2.5 Declaring Rates and Charges</w:t>
      </w:r>
      <w:bookmarkEnd w:id="18"/>
    </w:p>
    <w:p w:rsidR="00EB7021" w:rsidRDefault="00EB7021" w:rsidP="00F5730D">
      <w:pPr>
        <w:spacing w:after="60"/>
        <w:jc w:val="both"/>
        <w:rPr>
          <w:lang w:val="en-US"/>
        </w:rPr>
      </w:pPr>
      <w:r>
        <w:rPr>
          <w:lang w:val="en-US"/>
        </w:rPr>
        <w:t xml:space="preserve">Section 158 of the </w:t>
      </w:r>
      <w:r w:rsidR="00635A1F" w:rsidRPr="00635A1F">
        <w:rPr>
          <w:i/>
          <w:lang w:val="en-US"/>
        </w:rPr>
        <w:t>Local Government Act</w:t>
      </w:r>
      <w:r>
        <w:rPr>
          <w:lang w:val="en-US"/>
        </w:rPr>
        <w:t xml:space="preserve"> (1989) provides that </w:t>
      </w:r>
      <w:r w:rsidR="0019151A">
        <w:rPr>
          <w:lang w:val="en-US"/>
        </w:rPr>
        <w:t>Council</w:t>
      </w:r>
      <w:r>
        <w:rPr>
          <w:lang w:val="en-US"/>
        </w:rPr>
        <w:t xml:space="preserve"> </w:t>
      </w:r>
      <w:r w:rsidR="00351EED">
        <w:rPr>
          <w:lang w:val="en-US"/>
        </w:rPr>
        <w:t>must at least</w:t>
      </w:r>
      <w:r>
        <w:rPr>
          <w:lang w:val="en-US"/>
        </w:rPr>
        <w:t xml:space="preserve"> once in respect of each financial year declare </w:t>
      </w:r>
      <w:r w:rsidR="00351EED">
        <w:rPr>
          <w:lang w:val="en-US"/>
        </w:rPr>
        <w:t>by 31 August the following for that year:</w:t>
      </w:r>
    </w:p>
    <w:p w:rsidR="00F5730D" w:rsidRDefault="00351EED" w:rsidP="00F96372">
      <w:pPr>
        <w:pStyle w:val="NoSpacing"/>
        <w:numPr>
          <w:ilvl w:val="0"/>
          <w:numId w:val="13"/>
        </w:numPr>
        <w:rPr>
          <w:lang w:val="en-US"/>
        </w:rPr>
      </w:pPr>
      <w:r>
        <w:rPr>
          <w:lang w:val="en-US"/>
        </w:rPr>
        <w:t xml:space="preserve">The amount which </w:t>
      </w:r>
      <w:r w:rsidR="0019151A">
        <w:rPr>
          <w:lang w:val="en-US"/>
        </w:rPr>
        <w:t>Council</w:t>
      </w:r>
      <w:r>
        <w:rPr>
          <w:lang w:val="en-US"/>
        </w:rPr>
        <w:t xml:space="preserve"> intends to raise by way of general rates, municipal charges, service ra</w:t>
      </w:r>
      <w:r w:rsidR="00F5730D">
        <w:rPr>
          <w:lang w:val="en-US"/>
        </w:rPr>
        <w:t>tes and service charges;</w:t>
      </w:r>
    </w:p>
    <w:p w:rsidR="00F5730D" w:rsidRDefault="00351EED" w:rsidP="00F96372">
      <w:pPr>
        <w:pStyle w:val="NoSpacing"/>
        <w:numPr>
          <w:ilvl w:val="0"/>
          <w:numId w:val="13"/>
        </w:numPr>
        <w:rPr>
          <w:lang w:val="en-US"/>
        </w:rPr>
      </w:pPr>
      <w:r w:rsidRPr="00F5730D">
        <w:rPr>
          <w:lang w:val="en-US"/>
        </w:rPr>
        <w:t>Whether the general rates</w:t>
      </w:r>
      <w:r w:rsidR="00F5730D">
        <w:rPr>
          <w:lang w:val="en-US"/>
        </w:rPr>
        <w:t>,</w:t>
      </w:r>
      <w:r w:rsidRPr="00F5730D">
        <w:rPr>
          <w:lang w:val="en-US"/>
        </w:rPr>
        <w:t xml:space="preserve"> will be raised by application of –</w:t>
      </w:r>
      <w:r w:rsidR="00FB164E" w:rsidRPr="00F5730D">
        <w:rPr>
          <w:lang w:val="en-US"/>
        </w:rPr>
        <w:tab/>
      </w:r>
    </w:p>
    <w:p w:rsidR="00F5730D" w:rsidRDefault="00B16AF6" w:rsidP="00F96372">
      <w:pPr>
        <w:pStyle w:val="NoSpacing"/>
        <w:numPr>
          <w:ilvl w:val="2"/>
          <w:numId w:val="13"/>
        </w:numPr>
        <w:jc w:val="both"/>
        <w:rPr>
          <w:lang w:val="en-US"/>
        </w:rPr>
      </w:pPr>
      <w:r w:rsidRPr="00F5730D">
        <w:rPr>
          <w:lang w:val="en-US"/>
        </w:rPr>
        <w:t>A uniform rate; or</w:t>
      </w:r>
    </w:p>
    <w:p w:rsidR="00FB164E" w:rsidRPr="00F5730D" w:rsidRDefault="00FB164E" w:rsidP="00F96372">
      <w:pPr>
        <w:pStyle w:val="NoSpacing"/>
        <w:numPr>
          <w:ilvl w:val="2"/>
          <w:numId w:val="13"/>
        </w:numPr>
        <w:jc w:val="both"/>
        <w:rPr>
          <w:lang w:val="en-US"/>
        </w:rPr>
      </w:pPr>
      <w:r w:rsidRPr="00F5730D">
        <w:rPr>
          <w:lang w:val="en-US"/>
        </w:rPr>
        <w:t xml:space="preserve">Differential rates (if </w:t>
      </w:r>
      <w:r w:rsidR="0019151A">
        <w:rPr>
          <w:lang w:val="en-US"/>
        </w:rPr>
        <w:t>Council</w:t>
      </w:r>
      <w:r w:rsidRPr="00F5730D">
        <w:rPr>
          <w:lang w:val="en-US"/>
        </w:rPr>
        <w:t xml:space="preserve"> is permitted</w:t>
      </w:r>
      <w:r w:rsidR="00B16AF6" w:rsidRPr="00F5730D">
        <w:rPr>
          <w:lang w:val="en-US"/>
        </w:rPr>
        <w:t xml:space="preserve"> to do so under Section 161 (1)</w:t>
      </w:r>
      <w:r w:rsidR="00F5730D">
        <w:rPr>
          <w:lang w:val="en-US"/>
        </w:rPr>
        <w:t xml:space="preserve"> </w:t>
      </w:r>
      <w:r w:rsidRPr="00F5730D">
        <w:rPr>
          <w:lang w:val="en-US"/>
        </w:rPr>
        <w:t xml:space="preserve">Urban farm rates, farm rates or </w:t>
      </w:r>
      <w:r w:rsidR="009360C6" w:rsidRPr="00F5730D">
        <w:rPr>
          <w:lang w:val="en-US"/>
        </w:rPr>
        <w:t>residential</w:t>
      </w:r>
      <w:r w:rsidRPr="00F5730D">
        <w:rPr>
          <w:lang w:val="en-US"/>
        </w:rPr>
        <w:t xml:space="preserve"> use rates (if </w:t>
      </w:r>
      <w:r w:rsidR="0019151A">
        <w:rPr>
          <w:lang w:val="en-US"/>
        </w:rPr>
        <w:t>Council</w:t>
      </w:r>
      <w:r w:rsidRPr="00F5730D">
        <w:rPr>
          <w:lang w:val="en-US"/>
        </w:rPr>
        <w:t xml:space="preserve"> is permitted to do so under Section 161A)</w:t>
      </w:r>
    </w:p>
    <w:p w:rsidR="00FB164E" w:rsidRDefault="00FB164E" w:rsidP="00F5730D">
      <w:pPr>
        <w:jc w:val="both"/>
        <w:rPr>
          <w:lang w:val="en-US"/>
        </w:rPr>
      </w:pPr>
      <w:r>
        <w:rPr>
          <w:lang w:val="en-US"/>
        </w:rPr>
        <w:br/>
      </w:r>
      <w:r w:rsidR="0019151A">
        <w:rPr>
          <w:lang w:val="en-US"/>
        </w:rPr>
        <w:t>Council</w:t>
      </w:r>
      <w:r>
        <w:rPr>
          <w:lang w:val="en-US"/>
        </w:rPr>
        <w:t xml:space="preserve">’s recommended approach to the application of differential rates is discussed in Section </w:t>
      </w:r>
      <w:r w:rsidRPr="00554FFA">
        <w:rPr>
          <w:lang w:val="en-US"/>
        </w:rPr>
        <w:t>6</w:t>
      </w:r>
      <w:r w:rsidR="00C836E3">
        <w:rPr>
          <w:lang w:val="en-US"/>
        </w:rPr>
        <w:t xml:space="preserve"> of this Rating Strategy</w:t>
      </w:r>
    </w:p>
    <w:p w:rsidR="00FB164E" w:rsidRDefault="00FB164E" w:rsidP="00FB164E">
      <w:pPr>
        <w:pStyle w:val="Heading2"/>
      </w:pPr>
      <w:bookmarkStart w:id="19" w:name="_Toc499624670"/>
      <w:r>
        <w:t>2.6 Other legislative changes</w:t>
      </w:r>
      <w:bookmarkEnd w:id="19"/>
    </w:p>
    <w:p w:rsidR="00FB164E" w:rsidRPr="009A40FF" w:rsidRDefault="00FB164E" w:rsidP="00FB164E">
      <w:pPr>
        <w:pStyle w:val="Heading2"/>
        <w:rPr>
          <w:sz w:val="28"/>
        </w:rPr>
      </w:pPr>
      <w:bookmarkStart w:id="20" w:name="_Toc499624671"/>
      <w:r w:rsidRPr="009A40FF">
        <w:rPr>
          <w:sz w:val="28"/>
        </w:rPr>
        <w:t>Ministerial Rating Guidelines</w:t>
      </w:r>
      <w:bookmarkEnd w:id="20"/>
    </w:p>
    <w:p w:rsidR="00FB164E" w:rsidRDefault="00FB164E" w:rsidP="00F5730D">
      <w:pPr>
        <w:jc w:val="both"/>
        <w:rPr>
          <w:lang w:val="en-US"/>
        </w:rPr>
      </w:pPr>
      <w:r>
        <w:rPr>
          <w:lang w:val="en-US"/>
        </w:rPr>
        <w:t xml:space="preserve">The local Government Legislation Amendment (Miscellaneous) Bill 2012 was enacted in October 2012.  This legislation requires the Minister to issue guidelines which </w:t>
      </w:r>
      <w:r w:rsidR="0019151A">
        <w:rPr>
          <w:lang w:val="en-US"/>
        </w:rPr>
        <w:t>Council</w:t>
      </w:r>
      <w:r>
        <w:rPr>
          <w:lang w:val="en-US"/>
        </w:rPr>
        <w:t>s must have regard to before declaring a differential rate for any land.</w:t>
      </w:r>
    </w:p>
    <w:p w:rsidR="00FB164E" w:rsidRDefault="00FB164E" w:rsidP="00F5730D">
      <w:pPr>
        <w:jc w:val="both"/>
        <w:rPr>
          <w:lang w:val="en-US"/>
        </w:rPr>
      </w:pPr>
    </w:p>
    <w:p w:rsidR="00FB164E" w:rsidRDefault="00FB164E" w:rsidP="00F5730D">
      <w:pPr>
        <w:jc w:val="both"/>
        <w:rPr>
          <w:lang w:val="en-US"/>
        </w:rPr>
      </w:pPr>
      <w:r>
        <w:rPr>
          <w:lang w:val="en-US"/>
        </w:rPr>
        <w:t xml:space="preserve">The Minister is given the power to seek an Order prohibiting any </w:t>
      </w:r>
      <w:r w:rsidR="0019151A">
        <w:rPr>
          <w:lang w:val="en-US"/>
        </w:rPr>
        <w:t>Council</w:t>
      </w:r>
      <w:r>
        <w:rPr>
          <w:lang w:val="en-US"/>
        </w:rPr>
        <w:t xml:space="preserve"> from making a declaration of a differential rate if the Minister considers the declaration would be inconsistent with any guideline.</w:t>
      </w:r>
    </w:p>
    <w:p w:rsidR="00FB164E" w:rsidRPr="009A40FF" w:rsidRDefault="00FB164E" w:rsidP="00FB164E">
      <w:pPr>
        <w:pStyle w:val="Heading2"/>
        <w:rPr>
          <w:i/>
          <w:sz w:val="28"/>
        </w:rPr>
      </w:pPr>
      <w:bookmarkStart w:id="21" w:name="_Toc499624672"/>
      <w:r w:rsidRPr="009A40FF">
        <w:rPr>
          <w:i/>
          <w:sz w:val="28"/>
        </w:rPr>
        <w:t>Key messages from the Ministerial Guidelines</w:t>
      </w:r>
      <w:bookmarkEnd w:id="21"/>
    </w:p>
    <w:p w:rsidR="00FB164E" w:rsidRDefault="00FB164E" w:rsidP="00F5730D">
      <w:pPr>
        <w:spacing w:after="60"/>
        <w:jc w:val="both"/>
        <w:rPr>
          <w:lang w:val="en-US"/>
        </w:rPr>
      </w:pPr>
      <w:r>
        <w:rPr>
          <w:lang w:val="en-US"/>
        </w:rPr>
        <w:t xml:space="preserve">The Ministerial Guidelines (issued April 2013) state that </w:t>
      </w:r>
      <w:r w:rsidR="0019151A">
        <w:rPr>
          <w:lang w:val="en-US"/>
        </w:rPr>
        <w:t>Council</w:t>
      </w:r>
      <w:r>
        <w:rPr>
          <w:lang w:val="en-US"/>
        </w:rPr>
        <w:t xml:space="preserve"> should establish the suitable use of a di</w:t>
      </w:r>
      <w:r w:rsidR="00B12433">
        <w:rPr>
          <w:lang w:val="en-US"/>
        </w:rPr>
        <w:t>fferential rate by considering:</w:t>
      </w:r>
    </w:p>
    <w:p w:rsidR="00FB164E" w:rsidRPr="00FF4826" w:rsidRDefault="00FB164E" w:rsidP="00F96372">
      <w:pPr>
        <w:pStyle w:val="NoSpacing"/>
        <w:numPr>
          <w:ilvl w:val="0"/>
          <w:numId w:val="14"/>
        </w:numPr>
        <w:rPr>
          <w:lang w:val="en-US"/>
        </w:rPr>
      </w:pPr>
      <w:r>
        <w:rPr>
          <w:lang w:val="en-US"/>
        </w:rPr>
        <w:t xml:space="preserve">Other rating instruments available under the </w:t>
      </w:r>
      <w:r w:rsidR="00635A1F" w:rsidRPr="00635A1F">
        <w:rPr>
          <w:i/>
          <w:lang w:val="en-US"/>
        </w:rPr>
        <w:t>Local Government Act</w:t>
      </w:r>
      <w:r>
        <w:rPr>
          <w:lang w:val="en-US"/>
        </w:rPr>
        <w:t xml:space="preserve"> and the merits or shortcomings of each in achieving specified objectives; and</w:t>
      </w:r>
    </w:p>
    <w:p w:rsidR="00FB164E" w:rsidRDefault="00FB164E" w:rsidP="00F96372">
      <w:pPr>
        <w:pStyle w:val="NoSpacing"/>
        <w:numPr>
          <w:ilvl w:val="0"/>
          <w:numId w:val="15"/>
        </w:numPr>
        <w:rPr>
          <w:lang w:val="en-US"/>
        </w:rPr>
      </w:pPr>
      <w:r>
        <w:rPr>
          <w:lang w:val="en-US"/>
        </w:rPr>
        <w:t xml:space="preserve">The anticipated relative effectiveness of the differential rates to align to the strategic objectives set out in the </w:t>
      </w:r>
      <w:r w:rsidR="0019151A">
        <w:rPr>
          <w:lang w:val="en-US"/>
        </w:rPr>
        <w:t>Council</w:t>
      </w:r>
      <w:r>
        <w:rPr>
          <w:lang w:val="en-US"/>
        </w:rPr>
        <w:t xml:space="preserve"> Plan.</w:t>
      </w:r>
    </w:p>
    <w:p w:rsidR="0097560B" w:rsidRDefault="0097560B" w:rsidP="0097560B">
      <w:pPr>
        <w:rPr>
          <w:lang w:val="en-US"/>
        </w:rPr>
      </w:pPr>
    </w:p>
    <w:p w:rsidR="0097560B" w:rsidRPr="0097560B" w:rsidRDefault="0097560B" w:rsidP="00F5730D">
      <w:pPr>
        <w:jc w:val="both"/>
        <w:rPr>
          <w:lang w:val="en-US"/>
        </w:rPr>
      </w:pPr>
      <w:r>
        <w:rPr>
          <w:lang w:val="en-US"/>
        </w:rPr>
        <w:t>The</w:t>
      </w:r>
      <w:r w:rsidR="00F41943">
        <w:rPr>
          <w:lang w:val="en-US"/>
        </w:rPr>
        <w:t xml:space="preserve"> guidelines also require the specified objectives of differential rates to align to the strategic objectives set out in the </w:t>
      </w:r>
      <w:r w:rsidR="0019151A">
        <w:rPr>
          <w:lang w:val="en-US"/>
        </w:rPr>
        <w:t>Council</w:t>
      </w:r>
      <w:r w:rsidR="00F41943">
        <w:rPr>
          <w:lang w:val="en-US"/>
        </w:rPr>
        <w:t xml:space="preserve"> Plan.</w:t>
      </w:r>
    </w:p>
    <w:p w:rsidR="007D397A" w:rsidRDefault="007D397A" w:rsidP="00493004">
      <w:pPr>
        <w:rPr>
          <w:lang w:val="en-US"/>
        </w:rPr>
      </w:pPr>
    </w:p>
    <w:p w:rsidR="00C836E3" w:rsidRDefault="00F41943" w:rsidP="00F5730D">
      <w:pPr>
        <w:spacing w:after="60"/>
        <w:jc w:val="both"/>
        <w:rPr>
          <w:lang w:val="en-US"/>
        </w:rPr>
      </w:pPr>
      <w:r>
        <w:rPr>
          <w:lang w:val="en-US"/>
        </w:rPr>
        <w:t xml:space="preserve">The types and classes of land categories considered </w:t>
      </w:r>
      <w:r>
        <w:rPr>
          <w:b/>
          <w:i/>
          <w:lang w:val="en-US"/>
        </w:rPr>
        <w:t>appropriate</w:t>
      </w:r>
      <w:r>
        <w:rPr>
          <w:lang w:val="en-US"/>
        </w:rPr>
        <w:t xml:space="preserve"> for differential rates include:</w:t>
      </w:r>
    </w:p>
    <w:p w:rsidR="00F41943" w:rsidRPr="00F5730D" w:rsidRDefault="00F41943" w:rsidP="00F96372">
      <w:pPr>
        <w:pStyle w:val="ListParagraph"/>
        <w:numPr>
          <w:ilvl w:val="0"/>
          <w:numId w:val="15"/>
        </w:numPr>
        <w:jc w:val="both"/>
        <w:rPr>
          <w:lang w:val="en-US"/>
        </w:rPr>
      </w:pPr>
      <w:r w:rsidRPr="00F5730D">
        <w:rPr>
          <w:lang w:val="en-US"/>
        </w:rPr>
        <w:t>General land;</w:t>
      </w:r>
    </w:p>
    <w:p w:rsidR="00F41943" w:rsidRPr="00F5730D" w:rsidRDefault="00F41943" w:rsidP="00F96372">
      <w:pPr>
        <w:pStyle w:val="ListParagraph"/>
        <w:numPr>
          <w:ilvl w:val="0"/>
          <w:numId w:val="15"/>
        </w:numPr>
        <w:jc w:val="both"/>
        <w:rPr>
          <w:lang w:val="en-US"/>
        </w:rPr>
      </w:pPr>
      <w:r w:rsidRPr="00F5730D">
        <w:rPr>
          <w:lang w:val="en-US"/>
        </w:rPr>
        <w:t>Residential land;</w:t>
      </w:r>
    </w:p>
    <w:p w:rsidR="00F41943" w:rsidRPr="00F5730D" w:rsidRDefault="00F41943" w:rsidP="00F96372">
      <w:pPr>
        <w:pStyle w:val="ListParagraph"/>
        <w:numPr>
          <w:ilvl w:val="0"/>
          <w:numId w:val="15"/>
        </w:numPr>
        <w:jc w:val="both"/>
        <w:rPr>
          <w:lang w:val="en-US"/>
        </w:rPr>
      </w:pPr>
      <w:r w:rsidRPr="00F5730D">
        <w:rPr>
          <w:lang w:val="en-US"/>
        </w:rPr>
        <w:t>Farm Land;</w:t>
      </w:r>
    </w:p>
    <w:p w:rsidR="00F41943" w:rsidRPr="00F5730D" w:rsidRDefault="00F41943" w:rsidP="00F96372">
      <w:pPr>
        <w:pStyle w:val="ListParagraph"/>
        <w:numPr>
          <w:ilvl w:val="0"/>
          <w:numId w:val="15"/>
        </w:numPr>
        <w:jc w:val="both"/>
        <w:rPr>
          <w:lang w:val="en-US"/>
        </w:rPr>
      </w:pPr>
      <w:r w:rsidRPr="00F5730D">
        <w:rPr>
          <w:lang w:val="en-US"/>
        </w:rPr>
        <w:t>Commercial land;</w:t>
      </w:r>
    </w:p>
    <w:p w:rsidR="00F41943" w:rsidRPr="00F5730D" w:rsidRDefault="00F41943" w:rsidP="00F96372">
      <w:pPr>
        <w:pStyle w:val="ListParagraph"/>
        <w:numPr>
          <w:ilvl w:val="0"/>
          <w:numId w:val="15"/>
        </w:numPr>
        <w:jc w:val="both"/>
        <w:rPr>
          <w:lang w:val="en-US"/>
        </w:rPr>
      </w:pPr>
      <w:r w:rsidRPr="00F5730D">
        <w:rPr>
          <w:lang w:val="en-US"/>
        </w:rPr>
        <w:t>Industrial land;</w:t>
      </w:r>
    </w:p>
    <w:p w:rsidR="00F41943" w:rsidRPr="00F5730D" w:rsidRDefault="00F41943" w:rsidP="00F96372">
      <w:pPr>
        <w:pStyle w:val="ListParagraph"/>
        <w:numPr>
          <w:ilvl w:val="0"/>
          <w:numId w:val="15"/>
        </w:numPr>
        <w:jc w:val="both"/>
        <w:rPr>
          <w:lang w:val="en-US"/>
        </w:rPr>
      </w:pPr>
      <w:r w:rsidRPr="00F5730D">
        <w:rPr>
          <w:lang w:val="en-US"/>
        </w:rPr>
        <w:t>Vacant land;</w:t>
      </w:r>
    </w:p>
    <w:p w:rsidR="00F41943" w:rsidRPr="00F5730D" w:rsidRDefault="00F41943" w:rsidP="00F96372">
      <w:pPr>
        <w:pStyle w:val="ListParagraph"/>
        <w:numPr>
          <w:ilvl w:val="0"/>
          <w:numId w:val="15"/>
        </w:numPr>
        <w:jc w:val="both"/>
        <w:rPr>
          <w:lang w:val="en-US"/>
        </w:rPr>
      </w:pPr>
      <w:r w:rsidRPr="00F5730D">
        <w:rPr>
          <w:lang w:val="en-US"/>
        </w:rPr>
        <w:t>Derelict land; and</w:t>
      </w:r>
    </w:p>
    <w:p w:rsidR="00F41943" w:rsidRPr="00F5730D" w:rsidRDefault="00F41943" w:rsidP="00F96372">
      <w:pPr>
        <w:pStyle w:val="ListParagraph"/>
        <w:numPr>
          <w:ilvl w:val="0"/>
          <w:numId w:val="15"/>
        </w:numPr>
        <w:jc w:val="both"/>
        <w:rPr>
          <w:lang w:val="en-US"/>
        </w:rPr>
      </w:pPr>
      <w:r w:rsidRPr="00F5730D">
        <w:rPr>
          <w:lang w:val="en-US"/>
        </w:rPr>
        <w:t>Cultural and recreational land</w:t>
      </w:r>
    </w:p>
    <w:p w:rsidR="000309B2" w:rsidRPr="006E211D" w:rsidRDefault="000309B2" w:rsidP="00493004">
      <w:pPr>
        <w:rPr>
          <w:lang w:val="en-US"/>
        </w:rPr>
      </w:pPr>
    </w:p>
    <w:p w:rsidR="00C836E3" w:rsidRDefault="00FF4826" w:rsidP="00F5730D">
      <w:pPr>
        <w:spacing w:after="60"/>
        <w:jc w:val="both"/>
        <w:rPr>
          <w:lang w:val="en-US"/>
        </w:rPr>
      </w:pPr>
      <w:r>
        <w:rPr>
          <w:lang w:val="en-US"/>
        </w:rPr>
        <w:t xml:space="preserve">The types and classes of land categories considered </w:t>
      </w:r>
      <w:r>
        <w:rPr>
          <w:b/>
          <w:i/>
          <w:lang w:val="en-US"/>
        </w:rPr>
        <w:t>not appropriate</w:t>
      </w:r>
      <w:r>
        <w:rPr>
          <w:lang w:val="en-US"/>
        </w:rPr>
        <w:t xml:space="preserve"> includes:</w:t>
      </w:r>
    </w:p>
    <w:p w:rsidR="00FF4826" w:rsidRPr="00F41943" w:rsidRDefault="00FF4826" w:rsidP="00F96372">
      <w:pPr>
        <w:pStyle w:val="NoSpacing"/>
        <w:numPr>
          <w:ilvl w:val="0"/>
          <w:numId w:val="16"/>
        </w:numPr>
        <w:rPr>
          <w:lang w:val="en-US"/>
        </w:rPr>
      </w:pPr>
      <w:r>
        <w:rPr>
          <w:lang w:val="en-US"/>
        </w:rPr>
        <w:t>Electronic gaming machine venues or casinos</w:t>
      </w:r>
      <w:r w:rsidRPr="00F41943">
        <w:rPr>
          <w:lang w:val="en-US"/>
        </w:rPr>
        <w:t>;</w:t>
      </w:r>
    </w:p>
    <w:p w:rsidR="00FF4826" w:rsidRDefault="00FF4826" w:rsidP="00F96372">
      <w:pPr>
        <w:pStyle w:val="NoSpacing"/>
        <w:numPr>
          <w:ilvl w:val="0"/>
          <w:numId w:val="16"/>
        </w:numPr>
        <w:rPr>
          <w:lang w:val="en-US"/>
        </w:rPr>
      </w:pPr>
      <w:r>
        <w:rPr>
          <w:lang w:val="en-US"/>
        </w:rPr>
        <w:t>Liquor licensed venues or liquor outlet premises;</w:t>
      </w:r>
    </w:p>
    <w:p w:rsidR="00FF4826" w:rsidRDefault="00FF4826" w:rsidP="00F96372">
      <w:pPr>
        <w:pStyle w:val="NoSpacing"/>
        <w:numPr>
          <w:ilvl w:val="0"/>
          <w:numId w:val="16"/>
        </w:numPr>
        <w:rPr>
          <w:lang w:val="en-US"/>
        </w:rPr>
      </w:pPr>
      <w:r>
        <w:rPr>
          <w:lang w:val="en-US"/>
        </w:rPr>
        <w:t>Business premises defined as whole or part by hours of trade;</w:t>
      </w:r>
    </w:p>
    <w:p w:rsidR="00FF4826" w:rsidRDefault="00FF4826" w:rsidP="00F96372">
      <w:pPr>
        <w:pStyle w:val="NoSpacing"/>
        <w:numPr>
          <w:ilvl w:val="0"/>
          <w:numId w:val="16"/>
        </w:numPr>
        <w:rPr>
          <w:lang w:val="en-US"/>
        </w:rPr>
      </w:pPr>
      <w:r>
        <w:rPr>
          <w:lang w:val="en-US"/>
        </w:rPr>
        <w:t>Fast food franchises or premises;</w:t>
      </w:r>
    </w:p>
    <w:p w:rsidR="00FF4826" w:rsidRDefault="00FF4826" w:rsidP="00F96372">
      <w:pPr>
        <w:pStyle w:val="NoSpacing"/>
        <w:numPr>
          <w:ilvl w:val="0"/>
          <w:numId w:val="16"/>
        </w:numPr>
        <w:rPr>
          <w:lang w:val="en-US"/>
        </w:rPr>
      </w:pPr>
      <w:r>
        <w:rPr>
          <w:lang w:val="en-US"/>
        </w:rPr>
        <w:t>Tree plantations in the farming and rural activity zones; and</w:t>
      </w:r>
    </w:p>
    <w:p w:rsidR="00FF4826" w:rsidRPr="00FF4826" w:rsidRDefault="00FF4826" w:rsidP="00F96372">
      <w:pPr>
        <w:pStyle w:val="NoSpacing"/>
        <w:numPr>
          <w:ilvl w:val="0"/>
          <w:numId w:val="16"/>
        </w:numPr>
        <w:rPr>
          <w:rStyle w:val="NoSpacingChar"/>
          <w:rFonts w:eastAsia="Calibri" w:cs="Times New Roman"/>
          <w:lang w:val="en-US"/>
        </w:rPr>
      </w:pPr>
      <w:r>
        <w:rPr>
          <w:lang w:val="en-US"/>
        </w:rPr>
        <w:t>Land within the Urban Growth Zone without an approved Precinct Structure Plan in place.</w:t>
      </w:r>
      <w:r>
        <w:rPr>
          <w:lang w:val="en-US"/>
        </w:rPr>
        <w:br/>
      </w:r>
    </w:p>
    <w:p w:rsidR="00FF4826" w:rsidRDefault="00FF4826" w:rsidP="00F5730D">
      <w:pPr>
        <w:jc w:val="both"/>
        <w:rPr>
          <w:rStyle w:val="NoSpacingChar"/>
          <w:color w:val="000000" w:themeColor="text1"/>
        </w:rPr>
      </w:pPr>
      <w:r w:rsidRPr="00FF4826">
        <w:rPr>
          <w:rStyle w:val="NoSpacingChar"/>
          <w:color w:val="000000" w:themeColor="text1"/>
        </w:rPr>
        <w:t xml:space="preserve">The guidelines do not prevent the introduction of new differential rates, but do require documentation of the </w:t>
      </w:r>
      <w:r w:rsidR="0019151A">
        <w:rPr>
          <w:rStyle w:val="NoSpacingChar"/>
          <w:color w:val="000000" w:themeColor="text1"/>
        </w:rPr>
        <w:t>Council</w:t>
      </w:r>
      <w:r w:rsidRPr="00FF4826">
        <w:rPr>
          <w:rStyle w:val="NoSpacingChar"/>
          <w:color w:val="000000" w:themeColor="text1"/>
        </w:rPr>
        <w:t>’s discussion in relation to the objective, suitability, simplicity, and effectiveness of the new differential rate.</w:t>
      </w:r>
    </w:p>
    <w:p w:rsidR="00FF4826" w:rsidRPr="009A40FF" w:rsidRDefault="00FF4826" w:rsidP="00F5730D">
      <w:pPr>
        <w:pStyle w:val="Heading2"/>
        <w:jc w:val="both"/>
        <w:rPr>
          <w:sz w:val="28"/>
        </w:rPr>
      </w:pPr>
      <w:bookmarkStart w:id="22" w:name="_Toc499624673"/>
      <w:r w:rsidRPr="009A40FF">
        <w:rPr>
          <w:sz w:val="28"/>
        </w:rPr>
        <w:t xml:space="preserve">Fire Services </w:t>
      </w:r>
      <w:r w:rsidR="00C836E3" w:rsidRPr="009A40FF">
        <w:rPr>
          <w:sz w:val="28"/>
        </w:rPr>
        <w:t xml:space="preserve">Property </w:t>
      </w:r>
      <w:r w:rsidRPr="009A40FF">
        <w:rPr>
          <w:sz w:val="28"/>
        </w:rPr>
        <w:t>Levy</w:t>
      </w:r>
      <w:bookmarkEnd w:id="22"/>
    </w:p>
    <w:p w:rsidR="00FF4826" w:rsidRDefault="00FF4826" w:rsidP="00F5730D">
      <w:pPr>
        <w:jc w:val="both"/>
        <w:rPr>
          <w:lang w:val="en-US"/>
        </w:rPr>
      </w:pPr>
      <w:r>
        <w:rPr>
          <w:lang w:val="en-US"/>
        </w:rPr>
        <w:t>From 1 July 2013, the Victorian Government introduced a property based levy to fund the Metropolitan Fire and Emergency Services Board (MFB) and the Country Fire Authority (CFA).  The Fires Services Property Levy replaced the existing insurance-based funding model as recommended by the Victorian Bushfires Royal Commission.</w:t>
      </w:r>
      <w:r w:rsidR="004A6F5B">
        <w:rPr>
          <w:lang w:val="en-US"/>
        </w:rPr>
        <w:t xml:space="preserve"> It compromises a fixed and variable percentage formulae as determined by the State Government. </w:t>
      </w:r>
    </w:p>
    <w:p w:rsidR="00FF4826" w:rsidRDefault="00FF4826" w:rsidP="00F5730D">
      <w:pPr>
        <w:jc w:val="both"/>
        <w:rPr>
          <w:lang w:val="en-US"/>
        </w:rPr>
      </w:pPr>
    </w:p>
    <w:p w:rsidR="00FF4826" w:rsidRPr="00FF4826" w:rsidRDefault="00C836E3" w:rsidP="00F5730D">
      <w:pPr>
        <w:jc w:val="both"/>
        <w:rPr>
          <w:lang w:val="en-US"/>
        </w:rPr>
      </w:pPr>
      <w:r>
        <w:rPr>
          <w:lang w:val="en-US"/>
        </w:rPr>
        <w:t>The Fire S</w:t>
      </w:r>
      <w:r w:rsidR="00FF4826">
        <w:rPr>
          <w:lang w:val="en-US"/>
        </w:rPr>
        <w:t>ervices</w:t>
      </w:r>
      <w:r>
        <w:rPr>
          <w:lang w:val="en-US"/>
        </w:rPr>
        <w:t xml:space="preserve"> Property L</w:t>
      </w:r>
      <w:r w:rsidR="00FF4826">
        <w:rPr>
          <w:lang w:val="en-US"/>
        </w:rPr>
        <w:t>evy is sh</w:t>
      </w:r>
      <w:r w:rsidR="0079711D">
        <w:rPr>
          <w:lang w:val="en-US"/>
        </w:rPr>
        <w:t>own separately on rate notices</w:t>
      </w:r>
      <w:r w:rsidR="004A6F5B">
        <w:rPr>
          <w:lang w:val="en-US"/>
        </w:rPr>
        <w:t xml:space="preserve"> which local governments collect on behalf of the State Government</w:t>
      </w:r>
      <w:r w:rsidR="0079711D">
        <w:rPr>
          <w:lang w:val="en-US"/>
        </w:rPr>
        <w:t>.</w:t>
      </w:r>
    </w:p>
    <w:p w:rsidR="00CE0EDC" w:rsidRDefault="005F030C" w:rsidP="00071C8F">
      <w:pPr>
        <w:pStyle w:val="Heading1"/>
        <w:ind w:left="709" w:hanging="709"/>
      </w:pPr>
      <w:bookmarkStart w:id="23" w:name="_Toc499624674"/>
      <w:r>
        <w:t xml:space="preserve">3.  Understanding the current rating </w:t>
      </w:r>
      <w:r w:rsidR="00FF4826">
        <w:t xml:space="preserve">framework at Maroondah City </w:t>
      </w:r>
      <w:r w:rsidR="0019151A">
        <w:t>Council</w:t>
      </w:r>
      <w:bookmarkEnd w:id="23"/>
    </w:p>
    <w:p w:rsidR="00CE0EDC" w:rsidRPr="0079711D" w:rsidRDefault="00FF4826" w:rsidP="00F5730D">
      <w:pPr>
        <w:pStyle w:val="NoSpacing"/>
        <w:jc w:val="both"/>
        <w:rPr>
          <w:rFonts w:cs="Arial"/>
          <w:color w:val="000000" w:themeColor="text1"/>
        </w:rPr>
      </w:pPr>
      <w:r>
        <w:rPr>
          <w:rFonts w:cs="Arial"/>
          <w:color w:val="000000" w:themeColor="text1"/>
        </w:rPr>
        <w:t xml:space="preserve">Maroondah City </w:t>
      </w:r>
      <w:r w:rsidR="0019151A">
        <w:rPr>
          <w:rFonts w:cs="Arial"/>
          <w:color w:val="000000" w:themeColor="text1"/>
        </w:rPr>
        <w:t>Council</w:t>
      </w:r>
      <w:r>
        <w:rPr>
          <w:rFonts w:cs="Arial"/>
          <w:color w:val="000000" w:themeColor="text1"/>
        </w:rPr>
        <w:t xml:space="preserve"> currently applies the Capital Improved Valuation (CIV) methodology </w:t>
      </w:r>
      <w:r w:rsidR="00582948">
        <w:rPr>
          <w:rFonts w:cs="Arial"/>
          <w:color w:val="000000" w:themeColor="text1"/>
        </w:rPr>
        <w:t>to</w:t>
      </w:r>
      <w:r>
        <w:rPr>
          <w:rFonts w:cs="Arial"/>
          <w:color w:val="000000" w:themeColor="text1"/>
        </w:rPr>
        <w:t xml:space="preserve"> levy its rates</w:t>
      </w:r>
      <w:r w:rsidR="004A6F5B">
        <w:rPr>
          <w:rFonts w:cs="Arial"/>
          <w:color w:val="000000" w:themeColor="text1"/>
        </w:rPr>
        <w:t xml:space="preserve"> and </w:t>
      </w:r>
      <w:r>
        <w:rPr>
          <w:rFonts w:cs="Arial"/>
          <w:color w:val="000000" w:themeColor="text1"/>
        </w:rPr>
        <w:t xml:space="preserve">currently applies differential rating (versus uniform rating) </w:t>
      </w:r>
      <w:r w:rsidR="004A6F5B">
        <w:rPr>
          <w:rFonts w:cs="Arial"/>
          <w:color w:val="000000" w:themeColor="text1"/>
        </w:rPr>
        <w:t>with</w:t>
      </w:r>
      <w:r>
        <w:rPr>
          <w:rFonts w:cs="Arial"/>
          <w:color w:val="000000" w:themeColor="text1"/>
        </w:rPr>
        <w:t xml:space="preserve"> </w:t>
      </w:r>
      <w:r w:rsidR="0079711D">
        <w:rPr>
          <w:rFonts w:cs="Arial"/>
          <w:color w:val="000000" w:themeColor="text1"/>
        </w:rPr>
        <w:t xml:space="preserve">one (1) differential rate </w:t>
      </w:r>
      <w:r w:rsidR="00582948">
        <w:rPr>
          <w:rFonts w:cs="Arial"/>
          <w:color w:val="000000" w:themeColor="text1"/>
        </w:rPr>
        <w:t>in use.  The table below and the graph display the respective revenues from the various rate categories.</w:t>
      </w:r>
    </w:p>
    <w:p w:rsidR="00CE0EDC" w:rsidRPr="00996516" w:rsidRDefault="00CE0EDC" w:rsidP="00CE0EDC">
      <w:pPr>
        <w:pStyle w:val="NoSpacing"/>
        <w:rPr>
          <w:rFonts w:cs="Aria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417"/>
        <w:gridCol w:w="1843"/>
        <w:gridCol w:w="1984"/>
        <w:gridCol w:w="1701"/>
      </w:tblGrid>
      <w:tr w:rsidR="00540ACA" w:rsidRPr="00540ACA" w:rsidTr="00540ACA">
        <w:trPr>
          <w:trHeight w:val="171"/>
        </w:trPr>
        <w:tc>
          <w:tcPr>
            <w:tcW w:w="3936" w:type="dxa"/>
            <w:shd w:val="clear" w:color="auto" w:fill="1F497D" w:themeFill="text2"/>
            <w:vAlign w:val="center"/>
          </w:tcPr>
          <w:p w:rsidR="00880E82" w:rsidRPr="00540ACA" w:rsidRDefault="00880E82" w:rsidP="00F51607">
            <w:pPr>
              <w:pStyle w:val="Default"/>
              <w:rPr>
                <w:color w:val="FFFFFF" w:themeColor="background1"/>
                <w:sz w:val="22"/>
                <w:szCs w:val="22"/>
              </w:rPr>
            </w:pPr>
            <w:r w:rsidRPr="00540ACA">
              <w:rPr>
                <w:b/>
                <w:bCs/>
                <w:color w:val="FFFFFF" w:themeColor="background1"/>
                <w:sz w:val="22"/>
                <w:szCs w:val="22"/>
              </w:rPr>
              <w:t xml:space="preserve">Type or class of land </w:t>
            </w:r>
          </w:p>
        </w:tc>
        <w:tc>
          <w:tcPr>
            <w:tcW w:w="1417" w:type="dxa"/>
            <w:shd w:val="clear" w:color="auto" w:fill="1F497D" w:themeFill="text2"/>
            <w:vAlign w:val="center"/>
          </w:tcPr>
          <w:p w:rsidR="00880E82" w:rsidRPr="00540ACA" w:rsidRDefault="00880E82" w:rsidP="00F51607">
            <w:pPr>
              <w:pStyle w:val="Default"/>
              <w:jc w:val="center"/>
              <w:rPr>
                <w:color w:val="FFFFFF" w:themeColor="background1"/>
                <w:sz w:val="22"/>
                <w:szCs w:val="22"/>
              </w:rPr>
            </w:pPr>
            <w:r w:rsidRPr="00540ACA">
              <w:rPr>
                <w:color w:val="FFFFFF" w:themeColor="background1"/>
                <w:sz w:val="22"/>
                <w:szCs w:val="22"/>
              </w:rPr>
              <w:t>Number of assessments</w:t>
            </w:r>
          </w:p>
        </w:tc>
        <w:tc>
          <w:tcPr>
            <w:tcW w:w="1843" w:type="dxa"/>
            <w:shd w:val="clear" w:color="auto" w:fill="1F497D" w:themeFill="text2"/>
            <w:vAlign w:val="center"/>
          </w:tcPr>
          <w:p w:rsidR="00880E82" w:rsidRPr="00540ACA" w:rsidRDefault="00880E82" w:rsidP="00F51607">
            <w:pPr>
              <w:pStyle w:val="Default"/>
              <w:jc w:val="center"/>
              <w:rPr>
                <w:color w:val="FFFFFF" w:themeColor="background1"/>
                <w:sz w:val="22"/>
                <w:szCs w:val="22"/>
              </w:rPr>
            </w:pPr>
            <w:r w:rsidRPr="00540ACA">
              <w:rPr>
                <w:color w:val="FFFFFF" w:themeColor="background1"/>
                <w:sz w:val="22"/>
                <w:szCs w:val="22"/>
              </w:rPr>
              <w:t>2017/2018 CIV $</w:t>
            </w:r>
          </w:p>
        </w:tc>
        <w:tc>
          <w:tcPr>
            <w:tcW w:w="1984" w:type="dxa"/>
            <w:shd w:val="clear" w:color="auto" w:fill="1F497D" w:themeFill="text2"/>
            <w:vAlign w:val="center"/>
          </w:tcPr>
          <w:p w:rsidR="00880E82" w:rsidRPr="00540ACA" w:rsidRDefault="003C6AFD" w:rsidP="00F51607">
            <w:pPr>
              <w:pStyle w:val="Default"/>
              <w:jc w:val="center"/>
              <w:rPr>
                <w:color w:val="FFFFFF" w:themeColor="background1"/>
                <w:sz w:val="22"/>
                <w:szCs w:val="22"/>
              </w:rPr>
            </w:pPr>
            <w:r w:rsidRPr="00540ACA">
              <w:rPr>
                <w:bCs/>
                <w:color w:val="FFFFFF" w:themeColor="background1"/>
                <w:sz w:val="22"/>
                <w:szCs w:val="22"/>
              </w:rPr>
              <w:t>Total rates l</w:t>
            </w:r>
            <w:r w:rsidR="00880E82" w:rsidRPr="00540ACA">
              <w:rPr>
                <w:bCs/>
                <w:color w:val="FFFFFF" w:themeColor="background1"/>
                <w:sz w:val="22"/>
                <w:szCs w:val="22"/>
              </w:rPr>
              <w:t>evied 2017/18</w:t>
            </w:r>
          </w:p>
        </w:tc>
        <w:tc>
          <w:tcPr>
            <w:tcW w:w="1701" w:type="dxa"/>
            <w:shd w:val="clear" w:color="auto" w:fill="1F497D" w:themeFill="text2"/>
            <w:vAlign w:val="center"/>
          </w:tcPr>
          <w:p w:rsidR="00880E82" w:rsidRPr="00540ACA" w:rsidRDefault="003C6AFD" w:rsidP="00880E82">
            <w:pPr>
              <w:pStyle w:val="Default"/>
              <w:jc w:val="center"/>
              <w:rPr>
                <w:bCs/>
                <w:color w:val="FFFFFF" w:themeColor="background1"/>
                <w:sz w:val="22"/>
                <w:szCs w:val="22"/>
              </w:rPr>
            </w:pPr>
            <w:r w:rsidRPr="00540ACA">
              <w:rPr>
                <w:bCs/>
                <w:color w:val="FFFFFF" w:themeColor="background1"/>
                <w:sz w:val="22"/>
                <w:szCs w:val="22"/>
              </w:rPr>
              <w:t>% rates of total 2017/2018</w:t>
            </w:r>
          </w:p>
        </w:tc>
      </w:tr>
      <w:tr w:rsidR="00880E82" w:rsidRPr="00F51607" w:rsidTr="00A57E09">
        <w:trPr>
          <w:trHeight w:val="94"/>
        </w:trPr>
        <w:tc>
          <w:tcPr>
            <w:tcW w:w="3936" w:type="dxa"/>
            <w:tcBorders>
              <w:bottom w:val="nil"/>
            </w:tcBorders>
            <w:vAlign w:val="center"/>
          </w:tcPr>
          <w:p w:rsidR="00880E82" w:rsidRPr="00F51607" w:rsidRDefault="00A57E09" w:rsidP="00A57E09">
            <w:pPr>
              <w:pStyle w:val="Default"/>
              <w:rPr>
                <w:sz w:val="22"/>
                <w:szCs w:val="22"/>
              </w:rPr>
            </w:pPr>
            <w:r>
              <w:rPr>
                <w:sz w:val="22"/>
                <w:szCs w:val="22"/>
              </w:rPr>
              <w:t xml:space="preserve">           </w:t>
            </w:r>
            <w:r w:rsidR="00880E82" w:rsidRPr="00F51607">
              <w:rPr>
                <w:sz w:val="22"/>
                <w:szCs w:val="22"/>
              </w:rPr>
              <w:t xml:space="preserve">General Rate </w:t>
            </w:r>
          </w:p>
        </w:tc>
        <w:tc>
          <w:tcPr>
            <w:tcW w:w="1417" w:type="dxa"/>
            <w:tcBorders>
              <w:bottom w:val="nil"/>
            </w:tcBorders>
            <w:vAlign w:val="center"/>
          </w:tcPr>
          <w:p w:rsidR="00880E82" w:rsidRPr="00F51607" w:rsidRDefault="00880E82" w:rsidP="00A57E09">
            <w:pPr>
              <w:pStyle w:val="Default"/>
              <w:jc w:val="right"/>
              <w:rPr>
                <w:sz w:val="22"/>
                <w:szCs w:val="22"/>
              </w:rPr>
            </w:pPr>
            <w:r w:rsidRPr="00F51607">
              <w:rPr>
                <w:sz w:val="22"/>
                <w:szCs w:val="22"/>
              </w:rPr>
              <w:t>49103</w:t>
            </w:r>
          </w:p>
        </w:tc>
        <w:tc>
          <w:tcPr>
            <w:tcW w:w="1843" w:type="dxa"/>
            <w:tcBorders>
              <w:bottom w:val="nil"/>
            </w:tcBorders>
            <w:vAlign w:val="center"/>
          </w:tcPr>
          <w:p w:rsidR="00880E82" w:rsidRPr="00A57E09" w:rsidRDefault="00880E82" w:rsidP="00A57E09">
            <w:pPr>
              <w:pStyle w:val="Default"/>
              <w:jc w:val="right"/>
              <w:rPr>
                <w:sz w:val="22"/>
                <w:szCs w:val="22"/>
              </w:rPr>
            </w:pPr>
            <w:r w:rsidRPr="00A57E09">
              <w:rPr>
                <w:bCs/>
                <w:sz w:val="22"/>
                <w:szCs w:val="22"/>
              </w:rPr>
              <w:t>31,861,586,291</w:t>
            </w:r>
          </w:p>
        </w:tc>
        <w:tc>
          <w:tcPr>
            <w:tcW w:w="1984" w:type="dxa"/>
            <w:tcBorders>
              <w:bottom w:val="nil"/>
            </w:tcBorders>
            <w:vAlign w:val="center"/>
          </w:tcPr>
          <w:p w:rsidR="00880E82" w:rsidRPr="00830118" w:rsidRDefault="00880E82" w:rsidP="00A57E09">
            <w:pPr>
              <w:pStyle w:val="Default"/>
              <w:jc w:val="right"/>
              <w:rPr>
                <w:sz w:val="22"/>
                <w:szCs w:val="22"/>
              </w:rPr>
            </w:pPr>
            <w:r w:rsidRPr="00830118">
              <w:rPr>
                <w:bCs/>
                <w:sz w:val="22"/>
                <w:szCs w:val="22"/>
              </w:rPr>
              <w:t>71,773,889</w:t>
            </w:r>
          </w:p>
        </w:tc>
        <w:tc>
          <w:tcPr>
            <w:tcW w:w="1701" w:type="dxa"/>
            <w:tcBorders>
              <w:bottom w:val="nil"/>
            </w:tcBorders>
            <w:vAlign w:val="center"/>
          </w:tcPr>
          <w:p w:rsidR="00880E82" w:rsidRPr="00830118" w:rsidRDefault="003C6AFD" w:rsidP="00A57E09">
            <w:pPr>
              <w:pStyle w:val="Default"/>
              <w:jc w:val="center"/>
              <w:rPr>
                <w:bCs/>
                <w:sz w:val="22"/>
                <w:szCs w:val="22"/>
              </w:rPr>
            </w:pPr>
            <w:r>
              <w:rPr>
                <w:bCs/>
                <w:sz w:val="22"/>
                <w:szCs w:val="22"/>
              </w:rPr>
              <w:t>98.97%</w:t>
            </w:r>
          </w:p>
        </w:tc>
      </w:tr>
      <w:tr w:rsidR="00880E82" w:rsidRPr="00F51607" w:rsidTr="00A57E09">
        <w:trPr>
          <w:trHeight w:val="93"/>
        </w:trPr>
        <w:tc>
          <w:tcPr>
            <w:tcW w:w="3936" w:type="dxa"/>
            <w:tcBorders>
              <w:top w:val="nil"/>
              <w:bottom w:val="nil"/>
            </w:tcBorders>
            <w:vAlign w:val="center"/>
          </w:tcPr>
          <w:p w:rsidR="00880E82" w:rsidRPr="00830118" w:rsidRDefault="00880E82" w:rsidP="00A57E09">
            <w:pPr>
              <w:pStyle w:val="Default"/>
              <w:rPr>
                <w:i/>
                <w:sz w:val="22"/>
                <w:szCs w:val="22"/>
              </w:rPr>
            </w:pPr>
            <w:r w:rsidRPr="00830118">
              <w:rPr>
                <w:i/>
                <w:sz w:val="22"/>
                <w:szCs w:val="22"/>
              </w:rPr>
              <w:t xml:space="preserve">Differential Rate: </w:t>
            </w:r>
          </w:p>
        </w:tc>
        <w:tc>
          <w:tcPr>
            <w:tcW w:w="1417" w:type="dxa"/>
            <w:tcBorders>
              <w:top w:val="nil"/>
              <w:bottom w:val="nil"/>
            </w:tcBorders>
            <w:vAlign w:val="center"/>
          </w:tcPr>
          <w:p w:rsidR="00880E82" w:rsidRPr="00F51607" w:rsidRDefault="00880E82" w:rsidP="00A57E09">
            <w:pPr>
              <w:pStyle w:val="Default"/>
              <w:jc w:val="right"/>
              <w:rPr>
                <w:sz w:val="22"/>
                <w:szCs w:val="22"/>
              </w:rPr>
            </w:pPr>
          </w:p>
        </w:tc>
        <w:tc>
          <w:tcPr>
            <w:tcW w:w="1843" w:type="dxa"/>
            <w:tcBorders>
              <w:top w:val="nil"/>
              <w:bottom w:val="nil"/>
            </w:tcBorders>
            <w:vAlign w:val="center"/>
          </w:tcPr>
          <w:p w:rsidR="00880E82" w:rsidRPr="00A57E09" w:rsidRDefault="00880E82" w:rsidP="00A57E09">
            <w:pPr>
              <w:pStyle w:val="Default"/>
              <w:jc w:val="right"/>
              <w:rPr>
                <w:sz w:val="22"/>
                <w:szCs w:val="22"/>
              </w:rPr>
            </w:pPr>
          </w:p>
        </w:tc>
        <w:tc>
          <w:tcPr>
            <w:tcW w:w="1984" w:type="dxa"/>
            <w:tcBorders>
              <w:top w:val="nil"/>
              <w:bottom w:val="nil"/>
            </w:tcBorders>
            <w:vAlign w:val="center"/>
          </w:tcPr>
          <w:p w:rsidR="00880E82" w:rsidRPr="00830118" w:rsidRDefault="00880E82" w:rsidP="00A57E09">
            <w:pPr>
              <w:pStyle w:val="Default"/>
              <w:jc w:val="right"/>
              <w:rPr>
                <w:sz w:val="22"/>
                <w:szCs w:val="22"/>
              </w:rPr>
            </w:pPr>
          </w:p>
        </w:tc>
        <w:tc>
          <w:tcPr>
            <w:tcW w:w="1701" w:type="dxa"/>
            <w:tcBorders>
              <w:top w:val="nil"/>
              <w:bottom w:val="nil"/>
            </w:tcBorders>
            <w:vAlign w:val="center"/>
          </w:tcPr>
          <w:p w:rsidR="00880E82" w:rsidRPr="00830118" w:rsidRDefault="00880E82" w:rsidP="00A57E09">
            <w:pPr>
              <w:pStyle w:val="Default"/>
              <w:jc w:val="center"/>
              <w:rPr>
                <w:sz w:val="22"/>
                <w:szCs w:val="22"/>
              </w:rPr>
            </w:pPr>
          </w:p>
        </w:tc>
      </w:tr>
      <w:tr w:rsidR="00880E82" w:rsidRPr="00F51607" w:rsidTr="00A57E09">
        <w:trPr>
          <w:trHeight w:val="94"/>
        </w:trPr>
        <w:tc>
          <w:tcPr>
            <w:tcW w:w="3936" w:type="dxa"/>
            <w:tcBorders>
              <w:top w:val="nil"/>
              <w:bottom w:val="nil"/>
            </w:tcBorders>
            <w:vAlign w:val="center"/>
          </w:tcPr>
          <w:p w:rsidR="00880E82" w:rsidRPr="00F51607" w:rsidRDefault="00A57E09" w:rsidP="00A57E09">
            <w:pPr>
              <w:pStyle w:val="Default"/>
              <w:rPr>
                <w:sz w:val="22"/>
                <w:szCs w:val="22"/>
              </w:rPr>
            </w:pPr>
            <w:r>
              <w:rPr>
                <w:sz w:val="22"/>
                <w:szCs w:val="22"/>
              </w:rPr>
              <w:t xml:space="preserve">           </w:t>
            </w:r>
            <w:r w:rsidR="00880E82" w:rsidRPr="00F51607">
              <w:rPr>
                <w:sz w:val="22"/>
                <w:szCs w:val="22"/>
              </w:rPr>
              <w:t xml:space="preserve">Vacant Land </w:t>
            </w:r>
          </w:p>
        </w:tc>
        <w:tc>
          <w:tcPr>
            <w:tcW w:w="1417" w:type="dxa"/>
            <w:tcBorders>
              <w:top w:val="nil"/>
              <w:bottom w:val="nil"/>
            </w:tcBorders>
            <w:vAlign w:val="center"/>
          </w:tcPr>
          <w:p w:rsidR="00880E82" w:rsidRPr="00F51607" w:rsidRDefault="00880E82" w:rsidP="00A57E09">
            <w:pPr>
              <w:pStyle w:val="Default"/>
              <w:jc w:val="right"/>
              <w:rPr>
                <w:sz w:val="22"/>
                <w:szCs w:val="22"/>
              </w:rPr>
            </w:pPr>
            <w:r w:rsidRPr="00F51607">
              <w:rPr>
                <w:sz w:val="22"/>
                <w:szCs w:val="22"/>
              </w:rPr>
              <w:t>286</w:t>
            </w:r>
          </w:p>
        </w:tc>
        <w:tc>
          <w:tcPr>
            <w:tcW w:w="1843" w:type="dxa"/>
            <w:tcBorders>
              <w:top w:val="nil"/>
              <w:bottom w:val="nil"/>
            </w:tcBorders>
            <w:vAlign w:val="center"/>
          </w:tcPr>
          <w:p w:rsidR="00880E82" w:rsidRPr="00A57E09" w:rsidRDefault="00880E82" w:rsidP="00A57E09">
            <w:pPr>
              <w:pStyle w:val="Default"/>
              <w:jc w:val="right"/>
              <w:rPr>
                <w:sz w:val="22"/>
                <w:szCs w:val="22"/>
              </w:rPr>
            </w:pPr>
            <w:r w:rsidRPr="00A57E09">
              <w:rPr>
                <w:bCs/>
                <w:sz w:val="22"/>
                <w:szCs w:val="22"/>
              </w:rPr>
              <w:t xml:space="preserve">214,411,444 </w:t>
            </w:r>
          </w:p>
        </w:tc>
        <w:tc>
          <w:tcPr>
            <w:tcW w:w="1984" w:type="dxa"/>
            <w:tcBorders>
              <w:top w:val="nil"/>
              <w:bottom w:val="nil"/>
            </w:tcBorders>
            <w:vAlign w:val="center"/>
          </w:tcPr>
          <w:p w:rsidR="00880E82" w:rsidRPr="00830118" w:rsidRDefault="00880E82" w:rsidP="00A57E09">
            <w:pPr>
              <w:pStyle w:val="Default"/>
              <w:jc w:val="right"/>
              <w:rPr>
                <w:sz w:val="22"/>
                <w:szCs w:val="22"/>
              </w:rPr>
            </w:pPr>
            <w:r w:rsidRPr="00830118">
              <w:rPr>
                <w:bCs/>
                <w:sz w:val="22"/>
                <w:szCs w:val="22"/>
              </w:rPr>
              <w:t>724,711</w:t>
            </w:r>
          </w:p>
        </w:tc>
        <w:tc>
          <w:tcPr>
            <w:tcW w:w="1701" w:type="dxa"/>
            <w:tcBorders>
              <w:top w:val="nil"/>
              <w:bottom w:val="nil"/>
            </w:tcBorders>
            <w:vAlign w:val="center"/>
          </w:tcPr>
          <w:p w:rsidR="00880E82" w:rsidRPr="00830118" w:rsidRDefault="00880E82" w:rsidP="00A57E09">
            <w:pPr>
              <w:pStyle w:val="Default"/>
              <w:jc w:val="center"/>
              <w:rPr>
                <w:bCs/>
                <w:sz w:val="22"/>
                <w:szCs w:val="22"/>
              </w:rPr>
            </w:pPr>
            <w:r>
              <w:rPr>
                <w:bCs/>
                <w:sz w:val="22"/>
                <w:szCs w:val="22"/>
              </w:rPr>
              <w:t>1%</w:t>
            </w:r>
          </w:p>
        </w:tc>
      </w:tr>
      <w:tr w:rsidR="00880E82" w:rsidRPr="00F51607" w:rsidTr="00A57E09">
        <w:trPr>
          <w:trHeight w:val="296"/>
        </w:trPr>
        <w:tc>
          <w:tcPr>
            <w:tcW w:w="3936" w:type="dxa"/>
            <w:tcBorders>
              <w:top w:val="nil"/>
              <w:bottom w:val="nil"/>
            </w:tcBorders>
            <w:vAlign w:val="center"/>
          </w:tcPr>
          <w:p w:rsidR="00880E82" w:rsidRPr="00830118" w:rsidRDefault="00880E82" w:rsidP="00A57E09">
            <w:pPr>
              <w:pStyle w:val="Default"/>
              <w:rPr>
                <w:i/>
                <w:sz w:val="22"/>
                <w:szCs w:val="22"/>
              </w:rPr>
            </w:pPr>
            <w:r w:rsidRPr="00830118">
              <w:rPr>
                <w:i/>
                <w:sz w:val="22"/>
                <w:szCs w:val="22"/>
              </w:rPr>
              <w:t xml:space="preserve">Amounts in Lieu of Rates: </w:t>
            </w:r>
          </w:p>
        </w:tc>
        <w:tc>
          <w:tcPr>
            <w:tcW w:w="1417" w:type="dxa"/>
            <w:tcBorders>
              <w:top w:val="nil"/>
              <w:bottom w:val="nil"/>
            </w:tcBorders>
            <w:vAlign w:val="center"/>
          </w:tcPr>
          <w:p w:rsidR="00880E82" w:rsidRPr="00F51607" w:rsidRDefault="00880E82" w:rsidP="00A57E09">
            <w:pPr>
              <w:pStyle w:val="Default"/>
              <w:jc w:val="right"/>
              <w:rPr>
                <w:sz w:val="22"/>
                <w:szCs w:val="22"/>
              </w:rPr>
            </w:pPr>
          </w:p>
        </w:tc>
        <w:tc>
          <w:tcPr>
            <w:tcW w:w="1843" w:type="dxa"/>
            <w:tcBorders>
              <w:top w:val="nil"/>
              <w:bottom w:val="nil"/>
            </w:tcBorders>
            <w:vAlign w:val="center"/>
          </w:tcPr>
          <w:p w:rsidR="00880E82" w:rsidRPr="00A57E09" w:rsidRDefault="00880E82" w:rsidP="00A57E09">
            <w:pPr>
              <w:pStyle w:val="Default"/>
              <w:jc w:val="right"/>
              <w:rPr>
                <w:sz w:val="22"/>
                <w:szCs w:val="22"/>
              </w:rPr>
            </w:pPr>
          </w:p>
        </w:tc>
        <w:tc>
          <w:tcPr>
            <w:tcW w:w="1984" w:type="dxa"/>
            <w:tcBorders>
              <w:top w:val="nil"/>
              <w:bottom w:val="nil"/>
            </w:tcBorders>
            <w:vAlign w:val="center"/>
          </w:tcPr>
          <w:p w:rsidR="00880E82" w:rsidRPr="00830118" w:rsidRDefault="00880E82" w:rsidP="00A57E09">
            <w:pPr>
              <w:pStyle w:val="Default"/>
              <w:jc w:val="right"/>
              <w:rPr>
                <w:sz w:val="22"/>
                <w:szCs w:val="22"/>
              </w:rPr>
            </w:pPr>
          </w:p>
        </w:tc>
        <w:tc>
          <w:tcPr>
            <w:tcW w:w="1701" w:type="dxa"/>
            <w:tcBorders>
              <w:top w:val="nil"/>
              <w:bottom w:val="nil"/>
            </w:tcBorders>
            <w:vAlign w:val="center"/>
          </w:tcPr>
          <w:p w:rsidR="00880E82" w:rsidRPr="00830118" w:rsidRDefault="00880E82" w:rsidP="00A57E09">
            <w:pPr>
              <w:pStyle w:val="Default"/>
              <w:jc w:val="center"/>
              <w:rPr>
                <w:sz w:val="22"/>
                <w:szCs w:val="22"/>
              </w:rPr>
            </w:pPr>
          </w:p>
        </w:tc>
      </w:tr>
      <w:tr w:rsidR="00880E82" w:rsidRPr="00F51607" w:rsidTr="00A57E09">
        <w:trPr>
          <w:trHeight w:val="94"/>
        </w:trPr>
        <w:tc>
          <w:tcPr>
            <w:tcW w:w="3936" w:type="dxa"/>
            <w:tcBorders>
              <w:top w:val="nil"/>
              <w:bottom w:val="single" w:sz="6" w:space="0" w:color="auto"/>
            </w:tcBorders>
            <w:vAlign w:val="center"/>
          </w:tcPr>
          <w:p w:rsidR="00880E82" w:rsidRPr="00F51607" w:rsidRDefault="00880E82" w:rsidP="00A57E09">
            <w:pPr>
              <w:pStyle w:val="Default"/>
              <w:jc w:val="right"/>
              <w:rPr>
                <w:sz w:val="22"/>
                <w:szCs w:val="22"/>
              </w:rPr>
            </w:pPr>
            <w:r>
              <w:rPr>
                <w:sz w:val="22"/>
                <w:szCs w:val="22"/>
              </w:rPr>
              <w:t xml:space="preserve">   </w:t>
            </w:r>
            <w:r w:rsidRPr="00F51607">
              <w:rPr>
                <w:sz w:val="22"/>
                <w:szCs w:val="22"/>
              </w:rPr>
              <w:t xml:space="preserve">Cultural &amp; Recreational Lands Act </w:t>
            </w:r>
          </w:p>
        </w:tc>
        <w:tc>
          <w:tcPr>
            <w:tcW w:w="1417" w:type="dxa"/>
            <w:tcBorders>
              <w:top w:val="nil"/>
              <w:bottom w:val="single" w:sz="6" w:space="0" w:color="auto"/>
            </w:tcBorders>
            <w:vAlign w:val="center"/>
          </w:tcPr>
          <w:p w:rsidR="00880E82" w:rsidRPr="00F51607" w:rsidRDefault="00880E82" w:rsidP="00A57E09">
            <w:pPr>
              <w:pStyle w:val="Default"/>
              <w:jc w:val="right"/>
              <w:rPr>
                <w:bCs/>
                <w:sz w:val="22"/>
                <w:szCs w:val="22"/>
              </w:rPr>
            </w:pPr>
            <w:r w:rsidRPr="00F51607">
              <w:rPr>
                <w:bCs/>
                <w:sz w:val="22"/>
                <w:szCs w:val="22"/>
              </w:rPr>
              <w:t>3</w:t>
            </w:r>
          </w:p>
        </w:tc>
        <w:tc>
          <w:tcPr>
            <w:tcW w:w="1843" w:type="dxa"/>
            <w:tcBorders>
              <w:top w:val="nil"/>
              <w:bottom w:val="single" w:sz="6" w:space="0" w:color="auto"/>
            </w:tcBorders>
            <w:vAlign w:val="center"/>
          </w:tcPr>
          <w:p w:rsidR="00880E82" w:rsidRPr="00A57E09" w:rsidRDefault="00880E82" w:rsidP="00A57E09">
            <w:pPr>
              <w:pStyle w:val="Default"/>
              <w:jc w:val="right"/>
              <w:rPr>
                <w:sz w:val="22"/>
                <w:szCs w:val="22"/>
              </w:rPr>
            </w:pPr>
            <w:r w:rsidRPr="00A57E09">
              <w:rPr>
                <w:bCs/>
                <w:sz w:val="22"/>
                <w:szCs w:val="22"/>
              </w:rPr>
              <w:t>14,710,000</w:t>
            </w:r>
          </w:p>
        </w:tc>
        <w:tc>
          <w:tcPr>
            <w:tcW w:w="1984" w:type="dxa"/>
            <w:tcBorders>
              <w:top w:val="nil"/>
              <w:bottom w:val="single" w:sz="6" w:space="0" w:color="auto"/>
            </w:tcBorders>
            <w:vAlign w:val="center"/>
          </w:tcPr>
          <w:p w:rsidR="00880E82" w:rsidRPr="00830118" w:rsidRDefault="00880E82" w:rsidP="00A57E09">
            <w:pPr>
              <w:pStyle w:val="Default"/>
              <w:jc w:val="right"/>
              <w:rPr>
                <w:sz w:val="22"/>
                <w:szCs w:val="22"/>
              </w:rPr>
            </w:pPr>
            <w:r w:rsidRPr="00830118">
              <w:rPr>
                <w:bCs/>
                <w:sz w:val="22"/>
                <w:szCs w:val="22"/>
              </w:rPr>
              <w:t>21,535</w:t>
            </w:r>
          </w:p>
        </w:tc>
        <w:tc>
          <w:tcPr>
            <w:tcW w:w="1701" w:type="dxa"/>
            <w:tcBorders>
              <w:top w:val="nil"/>
              <w:bottom w:val="single" w:sz="6" w:space="0" w:color="auto"/>
            </w:tcBorders>
            <w:vAlign w:val="center"/>
          </w:tcPr>
          <w:p w:rsidR="00880E82" w:rsidRPr="00830118" w:rsidRDefault="003C6AFD" w:rsidP="00A57E09">
            <w:pPr>
              <w:pStyle w:val="Default"/>
              <w:jc w:val="center"/>
              <w:rPr>
                <w:bCs/>
                <w:sz w:val="22"/>
                <w:szCs w:val="22"/>
              </w:rPr>
            </w:pPr>
            <w:r>
              <w:rPr>
                <w:bCs/>
                <w:sz w:val="22"/>
                <w:szCs w:val="22"/>
              </w:rPr>
              <w:t>.03%</w:t>
            </w:r>
          </w:p>
        </w:tc>
      </w:tr>
      <w:tr w:rsidR="00880E82" w:rsidRPr="00F51607" w:rsidTr="00A57E09">
        <w:trPr>
          <w:trHeight w:val="94"/>
        </w:trPr>
        <w:tc>
          <w:tcPr>
            <w:tcW w:w="3936" w:type="dxa"/>
            <w:tcBorders>
              <w:top w:val="single" w:sz="6" w:space="0" w:color="auto"/>
              <w:bottom w:val="single" w:sz="8" w:space="0" w:color="auto"/>
            </w:tcBorders>
            <w:vAlign w:val="center"/>
          </w:tcPr>
          <w:p w:rsidR="00880E82" w:rsidRPr="00F51607" w:rsidRDefault="00880E82" w:rsidP="00A57E09">
            <w:pPr>
              <w:pStyle w:val="Default"/>
              <w:jc w:val="right"/>
              <w:rPr>
                <w:sz w:val="22"/>
                <w:szCs w:val="22"/>
              </w:rPr>
            </w:pPr>
            <w:r>
              <w:rPr>
                <w:b/>
                <w:bCs/>
                <w:sz w:val="22"/>
                <w:szCs w:val="22"/>
              </w:rPr>
              <w:t>Total</w:t>
            </w:r>
          </w:p>
        </w:tc>
        <w:tc>
          <w:tcPr>
            <w:tcW w:w="1417" w:type="dxa"/>
            <w:tcBorders>
              <w:top w:val="single" w:sz="6" w:space="0" w:color="auto"/>
              <w:bottom w:val="single" w:sz="8" w:space="0" w:color="auto"/>
            </w:tcBorders>
            <w:vAlign w:val="center"/>
          </w:tcPr>
          <w:p w:rsidR="00880E82" w:rsidRPr="00F51607" w:rsidRDefault="00880E82" w:rsidP="00A57E09">
            <w:pPr>
              <w:pStyle w:val="Default"/>
              <w:jc w:val="right"/>
              <w:rPr>
                <w:sz w:val="22"/>
                <w:szCs w:val="22"/>
              </w:rPr>
            </w:pPr>
          </w:p>
        </w:tc>
        <w:tc>
          <w:tcPr>
            <w:tcW w:w="1843" w:type="dxa"/>
            <w:tcBorders>
              <w:top w:val="single" w:sz="6" w:space="0" w:color="auto"/>
              <w:bottom w:val="single" w:sz="8" w:space="0" w:color="auto"/>
            </w:tcBorders>
            <w:vAlign w:val="center"/>
          </w:tcPr>
          <w:p w:rsidR="00880E82" w:rsidRPr="00A57E09" w:rsidRDefault="00880E82" w:rsidP="00A57E09">
            <w:pPr>
              <w:pStyle w:val="Default"/>
              <w:jc w:val="right"/>
              <w:rPr>
                <w:sz w:val="22"/>
                <w:szCs w:val="22"/>
              </w:rPr>
            </w:pPr>
            <w:r w:rsidRPr="00A57E09">
              <w:rPr>
                <w:bCs/>
                <w:sz w:val="22"/>
                <w:szCs w:val="22"/>
              </w:rPr>
              <w:t xml:space="preserve">32,090,707,735 </w:t>
            </w:r>
          </w:p>
        </w:tc>
        <w:tc>
          <w:tcPr>
            <w:tcW w:w="1984" w:type="dxa"/>
            <w:tcBorders>
              <w:top w:val="single" w:sz="6" w:space="0" w:color="auto"/>
              <w:bottom w:val="single" w:sz="8" w:space="0" w:color="auto"/>
            </w:tcBorders>
            <w:vAlign w:val="center"/>
          </w:tcPr>
          <w:p w:rsidR="00880E82" w:rsidRPr="00830118" w:rsidRDefault="00880E82" w:rsidP="00A57E09">
            <w:pPr>
              <w:pStyle w:val="Default"/>
              <w:jc w:val="right"/>
              <w:rPr>
                <w:sz w:val="22"/>
                <w:szCs w:val="22"/>
              </w:rPr>
            </w:pPr>
            <w:r w:rsidRPr="00830118">
              <w:rPr>
                <w:bCs/>
                <w:sz w:val="22"/>
                <w:szCs w:val="22"/>
              </w:rPr>
              <w:t>72,520,135</w:t>
            </w:r>
          </w:p>
        </w:tc>
        <w:tc>
          <w:tcPr>
            <w:tcW w:w="1701" w:type="dxa"/>
            <w:tcBorders>
              <w:top w:val="single" w:sz="6" w:space="0" w:color="auto"/>
              <w:bottom w:val="single" w:sz="8" w:space="0" w:color="auto"/>
            </w:tcBorders>
            <w:vAlign w:val="center"/>
          </w:tcPr>
          <w:p w:rsidR="00880E82" w:rsidRPr="00830118" w:rsidRDefault="003C6AFD" w:rsidP="00A57E09">
            <w:pPr>
              <w:pStyle w:val="Default"/>
              <w:jc w:val="center"/>
              <w:rPr>
                <w:bCs/>
                <w:sz w:val="22"/>
                <w:szCs w:val="22"/>
              </w:rPr>
            </w:pPr>
            <w:r>
              <w:rPr>
                <w:bCs/>
                <w:sz w:val="22"/>
                <w:szCs w:val="22"/>
              </w:rPr>
              <w:t>100%</w:t>
            </w:r>
          </w:p>
        </w:tc>
      </w:tr>
      <w:tr w:rsidR="00880E82" w:rsidRPr="00F51607" w:rsidTr="00A57E09">
        <w:trPr>
          <w:trHeight w:val="94"/>
        </w:trPr>
        <w:tc>
          <w:tcPr>
            <w:tcW w:w="3936" w:type="dxa"/>
            <w:tcBorders>
              <w:top w:val="single" w:sz="8" w:space="0" w:color="auto"/>
              <w:bottom w:val="single" w:sz="8" w:space="0" w:color="auto"/>
            </w:tcBorders>
            <w:vAlign w:val="center"/>
          </w:tcPr>
          <w:p w:rsidR="00880E82" w:rsidRPr="00830118" w:rsidRDefault="00880E82" w:rsidP="00A57E09">
            <w:pPr>
              <w:pStyle w:val="Default"/>
              <w:rPr>
                <w:bCs/>
                <w:sz w:val="22"/>
                <w:szCs w:val="22"/>
              </w:rPr>
            </w:pPr>
            <w:r w:rsidRPr="00830118">
              <w:rPr>
                <w:bCs/>
                <w:sz w:val="22"/>
                <w:szCs w:val="22"/>
              </w:rPr>
              <w:t>Waste Service Charges</w:t>
            </w:r>
          </w:p>
        </w:tc>
        <w:tc>
          <w:tcPr>
            <w:tcW w:w="1417" w:type="dxa"/>
            <w:tcBorders>
              <w:top w:val="single" w:sz="8" w:space="0" w:color="auto"/>
              <w:bottom w:val="single" w:sz="8" w:space="0" w:color="auto"/>
            </w:tcBorders>
            <w:vAlign w:val="center"/>
          </w:tcPr>
          <w:p w:rsidR="00880E82" w:rsidRPr="00F51607" w:rsidRDefault="00880E82" w:rsidP="00A57E09">
            <w:pPr>
              <w:pStyle w:val="Default"/>
              <w:jc w:val="right"/>
              <w:rPr>
                <w:sz w:val="22"/>
                <w:szCs w:val="22"/>
              </w:rPr>
            </w:pPr>
          </w:p>
        </w:tc>
        <w:tc>
          <w:tcPr>
            <w:tcW w:w="1843" w:type="dxa"/>
            <w:tcBorders>
              <w:top w:val="single" w:sz="8" w:space="0" w:color="auto"/>
              <w:bottom w:val="single" w:sz="8" w:space="0" w:color="auto"/>
            </w:tcBorders>
            <w:vAlign w:val="center"/>
          </w:tcPr>
          <w:p w:rsidR="00880E82" w:rsidRPr="00830118" w:rsidRDefault="00880E82" w:rsidP="00A57E09">
            <w:pPr>
              <w:pStyle w:val="Default"/>
              <w:jc w:val="right"/>
              <w:rPr>
                <w:bCs/>
                <w:sz w:val="20"/>
                <w:szCs w:val="20"/>
              </w:rPr>
            </w:pPr>
          </w:p>
        </w:tc>
        <w:tc>
          <w:tcPr>
            <w:tcW w:w="1984" w:type="dxa"/>
            <w:tcBorders>
              <w:top w:val="single" w:sz="8" w:space="0" w:color="auto"/>
              <w:bottom w:val="single" w:sz="8" w:space="0" w:color="auto"/>
            </w:tcBorders>
            <w:vAlign w:val="center"/>
          </w:tcPr>
          <w:p w:rsidR="00880E82" w:rsidRPr="00830118" w:rsidRDefault="00880E82" w:rsidP="00A57E09">
            <w:pPr>
              <w:pStyle w:val="Default"/>
              <w:jc w:val="right"/>
              <w:rPr>
                <w:bCs/>
                <w:sz w:val="22"/>
                <w:szCs w:val="22"/>
              </w:rPr>
            </w:pPr>
            <w:r w:rsidRPr="00830118">
              <w:rPr>
                <w:bCs/>
                <w:sz w:val="22"/>
                <w:szCs w:val="22"/>
              </w:rPr>
              <w:t>11,590,000</w:t>
            </w:r>
          </w:p>
        </w:tc>
        <w:tc>
          <w:tcPr>
            <w:tcW w:w="1701" w:type="dxa"/>
            <w:tcBorders>
              <w:top w:val="single" w:sz="8" w:space="0" w:color="auto"/>
              <w:bottom w:val="single" w:sz="8" w:space="0" w:color="auto"/>
            </w:tcBorders>
            <w:vAlign w:val="center"/>
          </w:tcPr>
          <w:p w:rsidR="00880E82" w:rsidRPr="00830118" w:rsidRDefault="00880E82" w:rsidP="00A57E09">
            <w:pPr>
              <w:pStyle w:val="Default"/>
              <w:jc w:val="center"/>
              <w:rPr>
                <w:bCs/>
                <w:sz w:val="22"/>
                <w:szCs w:val="22"/>
              </w:rPr>
            </w:pPr>
          </w:p>
        </w:tc>
      </w:tr>
      <w:tr w:rsidR="00880E82" w:rsidRPr="00F51607" w:rsidTr="00A57E09">
        <w:trPr>
          <w:trHeight w:val="94"/>
        </w:trPr>
        <w:tc>
          <w:tcPr>
            <w:tcW w:w="3936" w:type="dxa"/>
            <w:tcBorders>
              <w:top w:val="single" w:sz="8" w:space="0" w:color="auto"/>
              <w:bottom w:val="single" w:sz="4" w:space="0" w:color="auto"/>
            </w:tcBorders>
            <w:vAlign w:val="center"/>
          </w:tcPr>
          <w:p w:rsidR="00880E82" w:rsidRDefault="00880E82" w:rsidP="00A57E09">
            <w:pPr>
              <w:pStyle w:val="Default"/>
              <w:jc w:val="right"/>
              <w:rPr>
                <w:b/>
                <w:bCs/>
                <w:sz w:val="22"/>
                <w:szCs w:val="22"/>
              </w:rPr>
            </w:pPr>
            <w:r>
              <w:rPr>
                <w:b/>
                <w:bCs/>
                <w:sz w:val="22"/>
                <w:szCs w:val="22"/>
              </w:rPr>
              <w:t>Total Rates and Charges</w:t>
            </w:r>
          </w:p>
        </w:tc>
        <w:tc>
          <w:tcPr>
            <w:tcW w:w="1417" w:type="dxa"/>
            <w:tcBorders>
              <w:top w:val="single" w:sz="8" w:space="0" w:color="auto"/>
              <w:bottom w:val="single" w:sz="4" w:space="0" w:color="auto"/>
            </w:tcBorders>
            <w:vAlign w:val="center"/>
          </w:tcPr>
          <w:p w:rsidR="00880E82" w:rsidRPr="00F51607" w:rsidRDefault="00880E82" w:rsidP="00A57E09">
            <w:pPr>
              <w:pStyle w:val="Default"/>
              <w:jc w:val="right"/>
              <w:rPr>
                <w:sz w:val="22"/>
                <w:szCs w:val="22"/>
              </w:rPr>
            </w:pPr>
          </w:p>
        </w:tc>
        <w:tc>
          <w:tcPr>
            <w:tcW w:w="1843" w:type="dxa"/>
            <w:tcBorders>
              <w:top w:val="single" w:sz="8" w:space="0" w:color="auto"/>
              <w:bottom w:val="single" w:sz="4" w:space="0" w:color="auto"/>
            </w:tcBorders>
            <w:vAlign w:val="center"/>
          </w:tcPr>
          <w:p w:rsidR="00880E82" w:rsidRPr="00830118" w:rsidRDefault="00880E82" w:rsidP="00A57E09">
            <w:pPr>
              <w:pStyle w:val="Default"/>
              <w:jc w:val="right"/>
              <w:rPr>
                <w:bCs/>
                <w:sz w:val="20"/>
                <w:szCs w:val="20"/>
              </w:rPr>
            </w:pPr>
          </w:p>
        </w:tc>
        <w:tc>
          <w:tcPr>
            <w:tcW w:w="1984" w:type="dxa"/>
            <w:tcBorders>
              <w:top w:val="single" w:sz="8" w:space="0" w:color="auto"/>
              <w:bottom w:val="single" w:sz="4" w:space="0" w:color="auto"/>
            </w:tcBorders>
            <w:vAlign w:val="center"/>
          </w:tcPr>
          <w:p w:rsidR="00880E82" w:rsidRPr="00830118" w:rsidRDefault="00880E82" w:rsidP="00A57E09">
            <w:pPr>
              <w:pStyle w:val="Default"/>
              <w:jc w:val="right"/>
              <w:rPr>
                <w:bCs/>
                <w:sz w:val="22"/>
                <w:szCs w:val="22"/>
              </w:rPr>
            </w:pPr>
            <w:r w:rsidRPr="00830118">
              <w:rPr>
                <w:bCs/>
                <w:sz w:val="22"/>
                <w:szCs w:val="22"/>
              </w:rPr>
              <w:t>84,110,135</w:t>
            </w:r>
          </w:p>
        </w:tc>
        <w:tc>
          <w:tcPr>
            <w:tcW w:w="1701" w:type="dxa"/>
            <w:tcBorders>
              <w:top w:val="single" w:sz="8" w:space="0" w:color="auto"/>
              <w:bottom w:val="single" w:sz="4" w:space="0" w:color="auto"/>
            </w:tcBorders>
            <w:vAlign w:val="center"/>
          </w:tcPr>
          <w:p w:rsidR="00880E82" w:rsidRPr="00830118" w:rsidRDefault="00880E82" w:rsidP="00A57E09">
            <w:pPr>
              <w:pStyle w:val="Default"/>
              <w:jc w:val="center"/>
              <w:rPr>
                <w:bCs/>
                <w:sz w:val="22"/>
                <w:szCs w:val="22"/>
              </w:rPr>
            </w:pPr>
          </w:p>
        </w:tc>
      </w:tr>
    </w:tbl>
    <w:p w:rsidR="003C6AFD" w:rsidRDefault="003C6AFD" w:rsidP="00A57E09">
      <w:pPr>
        <w:jc w:val="right"/>
        <w:rPr>
          <w:rFonts w:cs="Arial"/>
        </w:rPr>
      </w:pPr>
    </w:p>
    <w:p w:rsidR="003C6AFD" w:rsidRDefault="003C6AFD">
      <w:pPr>
        <w:rPr>
          <w:rFonts w:cs="Arial"/>
        </w:rPr>
      </w:pPr>
    </w:p>
    <w:p w:rsidR="004D194E" w:rsidRDefault="003C6AFD" w:rsidP="003C6AFD">
      <w:pPr>
        <w:jc w:val="both"/>
        <w:rPr>
          <w:rFonts w:cs="Arial"/>
        </w:rPr>
      </w:pPr>
      <w:r>
        <w:rPr>
          <w:noProof/>
          <w:lang w:eastAsia="en-AU"/>
        </w:rPr>
        <w:drawing>
          <wp:inline distT="0" distB="0" distL="0" distR="0" wp14:anchorId="46A6DB67" wp14:editId="0A3BD08B">
            <wp:extent cx="6902450" cy="311658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D194E" w:rsidRDefault="004D194E" w:rsidP="003C6AFD">
      <w:pPr>
        <w:jc w:val="both"/>
        <w:rPr>
          <w:rFonts w:cs="Arial"/>
        </w:rPr>
      </w:pPr>
    </w:p>
    <w:p w:rsidR="004D194E" w:rsidRDefault="0019151A" w:rsidP="00F5730D">
      <w:pPr>
        <w:jc w:val="both"/>
        <w:rPr>
          <w:rFonts w:cs="Arial"/>
        </w:rPr>
      </w:pPr>
      <w:r>
        <w:rPr>
          <w:rFonts w:cs="Arial"/>
        </w:rPr>
        <w:t>Council</w:t>
      </w:r>
      <w:r w:rsidR="004D194E">
        <w:rPr>
          <w:rFonts w:cs="Arial"/>
        </w:rPr>
        <w:t xml:space="preserve"> currently utilises a service charge to fully recover the cost of the Waste function and applies special rates and charges schemes under the </w:t>
      </w:r>
      <w:r w:rsidR="00635A1F" w:rsidRPr="00635A1F">
        <w:rPr>
          <w:rFonts w:cs="Arial"/>
          <w:i/>
        </w:rPr>
        <w:t>Local Government Act</w:t>
      </w:r>
      <w:r w:rsidR="004D194E">
        <w:rPr>
          <w:rFonts w:cs="Arial"/>
        </w:rPr>
        <w:t xml:space="preserve"> (1989).</w:t>
      </w:r>
    </w:p>
    <w:p w:rsidR="004D194E" w:rsidRDefault="004D194E" w:rsidP="00F5730D">
      <w:pPr>
        <w:jc w:val="both"/>
        <w:rPr>
          <w:rFonts w:cs="Arial"/>
        </w:rPr>
      </w:pPr>
    </w:p>
    <w:p w:rsidR="00CE0EDC" w:rsidRPr="00996516" w:rsidRDefault="0019151A" w:rsidP="00F5730D">
      <w:pPr>
        <w:jc w:val="both"/>
        <w:rPr>
          <w:rFonts w:eastAsiaTheme="minorHAnsi" w:cs="Arial"/>
        </w:rPr>
      </w:pPr>
      <w:r>
        <w:rPr>
          <w:rFonts w:cs="Arial"/>
        </w:rPr>
        <w:t>Council</w:t>
      </w:r>
      <w:r w:rsidR="004D194E">
        <w:rPr>
          <w:rFonts w:cs="Arial"/>
        </w:rPr>
        <w:t xml:space="preserve"> do</w:t>
      </w:r>
      <w:r w:rsidR="009D532D">
        <w:rPr>
          <w:rFonts w:cs="Arial"/>
        </w:rPr>
        <w:t>es</w:t>
      </w:r>
      <w:r w:rsidR="004D194E">
        <w:rPr>
          <w:rFonts w:cs="Arial"/>
        </w:rPr>
        <w:t xml:space="preserve"> not currently utilise a mun</w:t>
      </w:r>
      <w:r w:rsidR="00B16AF6">
        <w:rPr>
          <w:rFonts w:cs="Arial"/>
        </w:rPr>
        <w:t>icipal charge.</w:t>
      </w:r>
    </w:p>
    <w:p w:rsidR="00CE0EDC" w:rsidRDefault="005F030C" w:rsidP="005F030C">
      <w:pPr>
        <w:pStyle w:val="Heading1"/>
        <w:ind w:left="709" w:hanging="709"/>
      </w:pPr>
      <w:bookmarkStart w:id="24" w:name="_Toc499624675"/>
      <w:r>
        <w:t xml:space="preserve">4. </w:t>
      </w:r>
      <w:r w:rsidR="00CE0EDC">
        <w:t xml:space="preserve"> </w:t>
      </w:r>
      <w:r w:rsidR="004D194E">
        <w:t>Determining which valuation base to use</w:t>
      </w:r>
      <w:bookmarkEnd w:id="24"/>
    </w:p>
    <w:p w:rsidR="00CE0EDC" w:rsidRPr="00F5730D" w:rsidRDefault="000C1B6C" w:rsidP="00F5730D">
      <w:pPr>
        <w:pStyle w:val="NoSpacing"/>
      </w:pPr>
      <w:r w:rsidRPr="00F5730D">
        <w:t xml:space="preserve">As outlined, under the </w:t>
      </w:r>
      <w:r w:rsidR="00635A1F" w:rsidRPr="00F5730D">
        <w:t>Local Government Act</w:t>
      </w:r>
      <w:r w:rsidRPr="00F5730D">
        <w:t xml:space="preserve"> (1989), </w:t>
      </w:r>
      <w:r w:rsidR="0019151A">
        <w:t>Council</w:t>
      </w:r>
      <w:r w:rsidRPr="00F5730D">
        <w:t xml:space="preserve"> has three options under the </w:t>
      </w:r>
      <w:r w:rsidR="00635A1F" w:rsidRPr="00F5730D">
        <w:t>Local Government Act</w:t>
      </w:r>
      <w:r w:rsidRPr="00F5730D">
        <w:t xml:space="preserve"> </w:t>
      </w:r>
      <w:r w:rsidR="009D532D">
        <w:t xml:space="preserve">regarding </w:t>
      </w:r>
      <w:r w:rsidRPr="00F5730D">
        <w:t>the valuation base it elects to use.</w:t>
      </w:r>
    </w:p>
    <w:p w:rsidR="000C1B6C" w:rsidRPr="00F5730D" w:rsidRDefault="000C1B6C" w:rsidP="00F5730D">
      <w:pPr>
        <w:pStyle w:val="NoSpacing"/>
      </w:pPr>
      <w:r w:rsidRPr="00F5730D">
        <w:t>They are:</w:t>
      </w:r>
    </w:p>
    <w:p w:rsidR="000C1B6C" w:rsidRPr="00F5730D" w:rsidRDefault="000C1B6C" w:rsidP="00F96372">
      <w:pPr>
        <w:pStyle w:val="NoSpacing"/>
        <w:numPr>
          <w:ilvl w:val="0"/>
          <w:numId w:val="17"/>
        </w:numPr>
      </w:pPr>
      <w:r w:rsidRPr="00F5730D">
        <w:t>Capital Improved Valuation (CIV) – Value of land and improvements upon the land</w:t>
      </w:r>
    </w:p>
    <w:p w:rsidR="000C1B6C" w:rsidRPr="00F5730D" w:rsidRDefault="000C1B6C" w:rsidP="00F96372">
      <w:pPr>
        <w:pStyle w:val="NoSpacing"/>
        <w:numPr>
          <w:ilvl w:val="0"/>
          <w:numId w:val="17"/>
        </w:numPr>
      </w:pPr>
      <w:r w:rsidRPr="00F5730D">
        <w:t>Site Value (SV) – Value of land only</w:t>
      </w:r>
    </w:p>
    <w:p w:rsidR="000C1B6C" w:rsidRPr="00F5730D" w:rsidRDefault="000C1B6C" w:rsidP="00F96372">
      <w:pPr>
        <w:pStyle w:val="NoSpacing"/>
        <w:numPr>
          <w:ilvl w:val="0"/>
          <w:numId w:val="17"/>
        </w:numPr>
      </w:pPr>
      <w:r w:rsidRPr="00F5730D">
        <w:t xml:space="preserve">Net Annual Value (NAV) – Rental valuation based on CIV.  For residential properties, NAV is calculated at 5% of the Capital Improved Value.  For commercial and industrial properties NAV is calculated as the </w:t>
      </w:r>
      <w:r w:rsidR="003659BB" w:rsidRPr="00F5730D">
        <w:t>greater of the estimated annual rental value or 5</w:t>
      </w:r>
      <w:r w:rsidR="00F5730D">
        <w:t xml:space="preserve"> </w:t>
      </w:r>
      <w:r w:rsidR="003659BB" w:rsidRPr="00F5730D">
        <w:t>percent of the CIV.</w:t>
      </w:r>
    </w:p>
    <w:p w:rsidR="000C1B6C" w:rsidRDefault="000C1B6C" w:rsidP="000C1B6C">
      <w:pPr>
        <w:pStyle w:val="Heading2"/>
      </w:pPr>
      <w:bookmarkStart w:id="25" w:name="_Toc499624676"/>
      <w:r>
        <w:t>4.1 Capital Improved Value (CIV)</w:t>
      </w:r>
      <w:bookmarkEnd w:id="25"/>
    </w:p>
    <w:p w:rsidR="000C1B6C" w:rsidRDefault="000C1B6C" w:rsidP="00F5730D">
      <w:pPr>
        <w:jc w:val="both"/>
        <w:rPr>
          <w:lang w:val="en-US"/>
        </w:rPr>
      </w:pPr>
      <w:r>
        <w:rPr>
          <w:lang w:val="en-US"/>
        </w:rPr>
        <w:t xml:space="preserve">Capital Improved Valuation is the most commonly used valuation base </w:t>
      </w:r>
      <w:r w:rsidR="00E0711A">
        <w:rPr>
          <w:lang w:val="en-US"/>
        </w:rPr>
        <w:t xml:space="preserve">used </w:t>
      </w:r>
      <w:r>
        <w:rPr>
          <w:lang w:val="en-US"/>
        </w:rPr>
        <w:t xml:space="preserve">by Victorian Local Government with </w:t>
      </w:r>
      <w:r w:rsidR="00046E45">
        <w:rPr>
          <w:lang w:val="en-US"/>
        </w:rPr>
        <w:t>approx.</w:t>
      </w:r>
      <w:r>
        <w:rPr>
          <w:lang w:val="en-US"/>
        </w:rPr>
        <w:t xml:space="preserve"> 73 </w:t>
      </w:r>
      <w:r w:rsidR="009D532D">
        <w:rPr>
          <w:lang w:val="en-US"/>
        </w:rPr>
        <w:t xml:space="preserve">of the 79 (92%) </w:t>
      </w:r>
      <w:r w:rsidR="0019151A">
        <w:rPr>
          <w:lang w:val="en-US"/>
        </w:rPr>
        <w:t>Council</w:t>
      </w:r>
      <w:r>
        <w:rPr>
          <w:lang w:val="en-US"/>
        </w:rPr>
        <w:t>s applying this methodology.  Based on the value of both land and all improvements on the land, it is relatively easy to understand by ratepayers as it equates to the market value of the property.</w:t>
      </w:r>
    </w:p>
    <w:p w:rsidR="000C1B6C" w:rsidRDefault="000C1B6C" w:rsidP="00F5730D">
      <w:pPr>
        <w:jc w:val="both"/>
        <w:rPr>
          <w:lang w:val="en-US"/>
        </w:rPr>
      </w:pPr>
    </w:p>
    <w:p w:rsidR="000C1B6C" w:rsidRDefault="000C1B6C" w:rsidP="00F5730D">
      <w:pPr>
        <w:jc w:val="both"/>
        <w:rPr>
          <w:lang w:val="en-US"/>
        </w:rPr>
      </w:pPr>
      <w:r>
        <w:rPr>
          <w:lang w:val="en-US"/>
        </w:rPr>
        <w:t xml:space="preserve">The key drive behind the majority </w:t>
      </w:r>
      <w:r w:rsidR="009D532D">
        <w:rPr>
          <w:lang w:val="en-US"/>
        </w:rPr>
        <w:t xml:space="preserve">of Council’s </w:t>
      </w:r>
      <w:r>
        <w:rPr>
          <w:lang w:val="en-US"/>
        </w:rPr>
        <w:t>us</w:t>
      </w:r>
      <w:r w:rsidR="009D532D">
        <w:rPr>
          <w:lang w:val="en-US"/>
        </w:rPr>
        <w:t>ing this methodology</w:t>
      </w:r>
      <w:r>
        <w:rPr>
          <w:lang w:val="en-US"/>
        </w:rPr>
        <w:t xml:space="preserve"> is the ability to apply differential rates </w:t>
      </w:r>
      <w:r w:rsidR="009D532D">
        <w:rPr>
          <w:lang w:val="en-US"/>
        </w:rPr>
        <w:t xml:space="preserve">between property classes </w:t>
      </w:r>
      <w:r>
        <w:rPr>
          <w:lang w:val="en-US"/>
        </w:rPr>
        <w:t>should this valuation base be used.</w:t>
      </w:r>
    </w:p>
    <w:p w:rsidR="000C1B6C" w:rsidRDefault="000C1B6C" w:rsidP="00F5730D">
      <w:pPr>
        <w:jc w:val="both"/>
        <w:rPr>
          <w:lang w:val="en-US"/>
        </w:rPr>
      </w:pPr>
    </w:p>
    <w:p w:rsidR="000C1B6C" w:rsidRDefault="000C1B6C" w:rsidP="00F5730D">
      <w:pPr>
        <w:spacing w:after="60"/>
        <w:jc w:val="both"/>
        <w:rPr>
          <w:lang w:val="en-US"/>
        </w:rPr>
      </w:pPr>
      <w:r>
        <w:rPr>
          <w:lang w:val="en-US"/>
        </w:rPr>
        <w:t xml:space="preserve">Section 161 of the </w:t>
      </w:r>
      <w:r w:rsidR="00635A1F" w:rsidRPr="00635A1F">
        <w:rPr>
          <w:i/>
          <w:lang w:val="en-US"/>
        </w:rPr>
        <w:t>Local Government Act</w:t>
      </w:r>
      <w:r>
        <w:rPr>
          <w:lang w:val="en-US"/>
        </w:rPr>
        <w:t xml:space="preserve"> (1989) provides that a </w:t>
      </w:r>
      <w:r w:rsidR="0019151A">
        <w:rPr>
          <w:lang w:val="en-US"/>
        </w:rPr>
        <w:t>Council</w:t>
      </w:r>
      <w:r>
        <w:rPr>
          <w:lang w:val="en-US"/>
        </w:rPr>
        <w:t xml:space="preserve"> may raise any general rates by the application of a differential rate if –</w:t>
      </w:r>
    </w:p>
    <w:p w:rsidR="00046E45" w:rsidRDefault="00046E45" w:rsidP="00F96372">
      <w:pPr>
        <w:pStyle w:val="NoSpacing"/>
        <w:numPr>
          <w:ilvl w:val="0"/>
          <w:numId w:val="18"/>
        </w:numPr>
        <w:rPr>
          <w:lang w:val="en-US"/>
        </w:rPr>
      </w:pPr>
      <w:r>
        <w:rPr>
          <w:lang w:val="en-US"/>
        </w:rPr>
        <w:t>It uses the capital improved value system of valuing land; and</w:t>
      </w:r>
    </w:p>
    <w:p w:rsidR="00046E45" w:rsidRDefault="00046E45" w:rsidP="00F96372">
      <w:pPr>
        <w:pStyle w:val="NoSpacing"/>
        <w:numPr>
          <w:ilvl w:val="0"/>
          <w:numId w:val="18"/>
        </w:numPr>
        <w:rPr>
          <w:lang w:val="en-US"/>
        </w:rPr>
      </w:pPr>
      <w:r>
        <w:rPr>
          <w:lang w:val="en-US"/>
        </w:rPr>
        <w:t>It considers that a differential rate will contribute to the equitable and efficient carrying out of its functions.</w:t>
      </w:r>
      <w:r w:rsidR="00C16998">
        <w:rPr>
          <w:lang w:val="en-US"/>
        </w:rPr>
        <w:br/>
      </w:r>
    </w:p>
    <w:p w:rsidR="00C16998" w:rsidRDefault="00046E45" w:rsidP="00F5730D">
      <w:pPr>
        <w:jc w:val="both"/>
        <w:rPr>
          <w:lang w:val="en-US"/>
        </w:rPr>
      </w:pPr>
      <w:r>
        <w:rPr>
          <w:lang w:val="en-US"/>
        </w:rPr>
        <w:t xml:space="preserve">Where a </w:t>
      </w:r>
      <w:r w:rsidR="0019151A">
        <w:rPr>
          <w:lang w:val="en-US"/>
        </w:rPr>
        <w:t>Council</w:t>
      </w:r>
      <w:r>
        <w:rPr>
          <w:lang w:val="en-US"/>
        </w:rPr>
        <w:t xml:space="preserve"> does not utilize capital improved valuation, it may only apply limited differential rates in relation to farm land, urban far</w:t>
      </w:r>
      <w:r w:rsidR="00B16AF6">
        <w:rPr>
          <w:lang w:val="en-US"/>
        </w:rPr>
        <w:t>m land or residential use land.</w:t>
      </w:r>
    </w:p>
    <w:p w:rsidR="00C836E3" w:rsidRPr="00C836E3" w:rsidRDefault="00C16998" w:rsidP="00C836E3">
      <w:pPr>
        <w:pStyle w:val="Heading2"/>
      </w:pPr>
      <w:bookmarkStart w:id="26" w:name="_Toc499624677"/>
      <w:r>
        <w:t>Advantages of using Capital Improved Valuation (CIV)</w:t>
      </w:r>
      <w:bookmarkEnd w:id="26"/>
    </w:p>
    <w:p w:rsidR="00C16998" w:rsidRDefault="00C16998" w:rsidP="00F96372">
      <w:pPr>
        <w:pStyle w:val="NoSpacing"/>
        <w:numPr>
          <w:ilvl w:val="0"/>
          <w:numId w:val="19"/>
        </w:numPr>
        <w:rPr>
          <w:lang w:val="en-US"/>
        </w:rPr>
      </w:pPr>
      <w:r>
        <w:rPr>
          <w:lang w:val="en-US"/>
        </w:rPr>
        <w:t>CIV includes all improvements, and hence is often supported on the basis that it more closely reflects “capacity to pay”.  The CIV rating method considers the full development value of the property, and hence better meets the equity criteria than Site Value and NAV</w:t>
      </w:r>
      <w:r w:rsidR="009D532D">
        <w:rPr>
          <w:lang w:val="en-US"/>
        </w:rPr>
        <w:t>.</w:t>
      </w:r>
    </w:p>
    <w:p w:rsidR="00C16998" w:rsidRDefault="00C16998" w:rsidP="00F96372">
      <w:pPr>
        <w:pStyle w:val="NoSpacing"/>
        <w:numPr>
          <w:ilvl w:val="0"/>
          <w:numId w:val="19"/>
        </w:numPr>
        <w:rPr>
          <w:lang w:val="en-US"/>
        </w:rPr>
      </w:pPr>
      <w:r>
        <w:rPr>
          <w:lang w:val="en-US"/>
        </w:rPr>
        <w:t>With the increased frequency of valuations (previously four year intervals, now two year intervals</w:t>
      </w:r>
      <w:r w:rsidR="00BC203A">
        <w:rPr>
          <w:lang w:val="en-US"/>
        </w:rPr>
        <w:t xml:space="preserve"> with a possible change to annual</w:t>
      </w:r>
      <w:r>
        <w:rPr>
          <w:lang w:val="en-US"/>
        </w:rPr>
        <w:t>), the market values are more predictable and has reduced the level of objections resulting from valuations.</w:t>
      </w:r>
    </w:p>
    <w:p w:rsidR="00BC203A" w:rsidRDefault="00BC203A" w:rsidP="00F96372">
      <w:pPr>
        <w:pStyle w:val="NoSpacing"/>
        <w:numPr>
          <w:ilvl w:val="0"/>
          <w:numId w:val="19"/>
        </w:numPr>
        <w:rPr>
          <w:lang w:val="en-US"/>
        </w:rPr>
      </w:pPr>
      <w:r>
        <w:rPr>
          <w:lang w:val="en-US"/>
        </w:rPr>
        <w:t>The concept of the market value of property is more easily understood with CIV rather than NAV or SV.</w:t>
      </w:r>
    </w:p>
    <w:p w:rsidR="00BC203A" w:rsidRDefault="00BC203A" w:rsidP="00F96372">
      <w:pPr>
        <w:pStyle w:val="NoSpacing"/>
        <w:numPr>
          <w:ilvl w:val="0"/>
          <w:numId w:val="19"/>
        </w:numPr>
        <w:rPr>
          <w:lang w:val="en-US"/>
        </w:rPr>
      </w:pPr>
      <w:r>
        <w:rPr>
          <w:lang w:val="en-US"/>
        </w:rPr>
        <w:t xml:space="preserve">Most </w:t>
      </w:r>
      <w:r w:rsidR="0019151A">
        <w:rPr>
          <w:lang w:val="en-US"/>
        </w:rPr>
        <w:t>Council</w:t>
      </w:r>
      <w:r>
        <w:rPr>
          <w:lang w:val="en-US"/>
        </w:rPr>
        <w:t xml:space="preserve">s in Victoria have now adopted CIV which makes it easier to compare relative movements in rates and valuations across </w:t>
      </w:r>
      <w:r w:rsidR="0019151A">
        <w:rPr>
          <w:lang w:val="en-US"/>
        </w:rPr>
        <w:t>Council</w:t>
      </w:r>
      <w:r>
        <w:rPr>
          <w:lang w:val="en-US"/>
        </w:rPr>
        <w:t>s.</w:t>
      </w:r>
    </w:p>
    <w:p w:rsidR="00BC203A" w:rsidRDefault="00BC203A" w:rsidP="00F96372">
      <w:pPr>
        <w:pStyle w:val="NoSpacing"/>
        <w:numPr>
          <w:ilvl w:val="0"/>
          <w:numId w:val="19"/>
        </w:numPr>
        <w:rPr>
          <w:lang w:val="en-US"/>
        </w:rPr>
      </w:pPr>
      <w:r>
        <w:rPr>
          <w:lang w:val="en-US"/>
        </w:rPr>
        <w:t xml:space="preserve">The use of CIV allows </w:t>
      </w:r>
      <w:r w:rsidR="0019151A">
        <w:rPr>
          <w:lang w:val="en-US"/>
        </w:rPr>
        <w:t>Council</w:t>
      </w:r>
      <w:r>
        <w:rPr>
          <w:lang w:val="en-US"/>
        </w:rPr>
        <w:t xml:space="preserve"> to apply differential rates which adds to </w:t>
      </w:r>
      <w:r w:rsidR="0019151A">
        <w:rPr>
          <w:lang w:val="en-US"/>
        </w:rPr>
        <w:t>Council</w:t>
      </w:r>
      <w:r>
        <w:rPr>
          <w:lang w:val="en-US"/>
        </w:rPr>
        <w:t xml:space="preserve">’s ability to equitably distribute the rating burden based on ability to afford </w:t>
      </w:r>
      <w:r w:rsidR="0019151A">
        <w:rPr>
          <w:lang w:val="en-US"/>
        </w:rPr>
        <w:t>Council</w:t>
      </w:r>
      <w:r>
        <w:rPr>
          <w:lang w:val="en-US"/>
        </w:rPr>
        <w:t xml:space="preserve"> rates.  CIV allows </w:t>
      </w:r>
      <w:r w:rsidR="0019151A">
        <w:rPr>
          <w:lang w:val="en-US"/>
        </w:rPr>
        <w:t>Council</w:t>
      </w:r>
      <w:r>
        <w:rPr>
          <w:lang w:val="en-US"/>
        </w:rPr>
        <w:t xml:space="preserve"> to apply higher rating differentials to the commercial and industrial sector that offset residential rates.</w:t>
      </w:r>
    </w:p>
    <w:p w:rsidR="00BC203A" w:rsidRDefault="00BC203A" w:rsidP="00BC203A">
      <w:pPr>
        <w:pStyle w:val="Heading2"/>
      </w:pPr>
      <w:bookmarkStart w:id="27" w:name="_Toc499624678"/>
      <w:r>
        <w:t>Disadvantages of using CIV</w:t>
      </w:r>
      <w:bookmarkEnd w:id="27"/>
    </w:p>
    <w:p w:rsidR="00AD683D" w:rsidRPr="00B16AF6" w:rsidRDefault="00BC203A" w:rsidP="00F96372">
      <w:pPr>
        <w:pStyle w:val="NoSpacing"/>
        <w:numPr>
          <w:ilvl w:val="0"/>
          <w:numId w:val="20"/>
        </w:numPr>
        <w:rPr>
          <w:lang w:val="en-US"/>
        </w:rPr>
      </w:pPr>
      <w:r>
        <w:rPr>
          <w:lang w:val="en-US"/>
        </w:rPr>
        <w:t xml:space="preserve">The main disadvantage with CIV is the fact that rates are based on the total property value which may not necessarily reflect the income of the property owner </w:t>
      </w:r>
      <w:r w:rsidR="009D532D">
        <w:rPr>
          <w:lang w:val="en-US"/>
        </w:rPr>
        <w:t xml:space="preserve">such </w:t>
      </w:r>
      <w:r>
        <w:rPr>
          <w:lang w:val="en-US"/>
        </w:rPr>
        <w:t xml:space="preserve">as </w:t>
      </w:r>
      <w:r w:rsidR="009D532D">
        <w:rPr>
          <w:lang w:val="en-US"/>
        </w:rPr>
        <w:t>p</w:t>
      </w:r>
      <w:r>
        <w:rPr>
          <w:lang w:val="en-US"/>
        </w:rPr>
        <w:t>ensioners and low income earners.</w:t>
      </w:r>
    </w:p>
    <w:p w:rsidR="00BC203A" w:rsidRDefault="00BC203A" w:rsidP="00BC203A">
      <w:pPr>
        <w:pStyle w:val="Heading2"/>
      </w:pPr>
      <w:bookmarkStart w:id="28" w:name="_Toc499624679"/>
      <w:r>
        <w:t>4.2 Site Value (SV)</w:t>
      </w:r>
      <w:bookmarkEnd w:id="28"/>
    </w:p>
    <w:p w:rsidR="00BC203A" w:rsidRDefault="00BC203A" w:rsidP="00F5730D">
      <w:pPr>
        <w:jc w:val="both"/>
        <w:rPr>
          <w:lang w:val="en-US"/>
        </w:rPr>
      </w:pPr>
      <w:r>
        <w:rPr>
          <w:lang w:val="en-US"/>
        </w:rPr>
        <w:t xml:space="preserve">There are no Victorian </w:t>
      </w:r>
      <w:r w:rsidR="0019151A">
        <w:rPr>
          <w:lang w:val="en-US"/>
        </w:rPr>
        <w:t>Council</w:t>
      </w:r>
      <w:r>
        <w:rPr>
          <w:lang w:val="en-US"/>
        </w:rPr>
        <w:t>s that use this valuation base</w:t>
      </w:r>
      <w:r w:rsidR="001044DD">
        <w:rPr>
          <w:lang w:val="en-US"/>
        </w:rPr>
        <w:t xml:space="preserve"> currently</w:t>
      </w:r>
      <w:r>
        <w:rPr>
          <w:lang w:val="en-US"/>
        </w:rPr>
        <w:t>.  With valuations based simply on the valuation of land and with on</w:t>
      </w:r>
      <w:r w:rsidR="00AD683D">
        <w:rPr>
          <w:lang w:val="en-US"/>
        </w:rPr>
        <w:t>l</w:t>
      </w:r>
      <w:r>
        <w:rPr>
          <w:lang w:val="en-US"/>
        </w:rPr>
        <w:t xml:space="preserve">y very limited </w:t>
      </w:r>
      <w:r w:rsidR="00AD683D">
        <w:rPr>
          <w:lang w:val="en-US"/>
        </w:rPr>
        <w:t>ability</w:t>
      </w:r>
      <w:r>
        <w:rPr>
          <w:lang w:val="en-US"/>
        </w:rPr>
        <w:t xml:space="preserve"> to apply differential rates, the implementation of Site Value in </w:t>
      </w:r>
      <w:r w:rsidR="00AD683D">
        <w:rPr>
          <w:lang w:val="en-US"/>
        </w:rPr>
        <w:t xml:space="preserve">a Maroondah City </w:t>
      </w:r>
      <w:r w:rsidR="0019151A">
        <w:rPr>
          <w:lang w:val="en-US"/>
        </w:rPr>
        <w:t>Council</w:t>
      </w:r>
      <w:r w:rsidR="00AD683D">
        <w:rPr>
          <w:lang w:val="en-US"/>
        </w:rPr>
        <w:t xml:space="preserve"> context would cause a massive shift in rate burden from the industrial/commercial sectors onto the residential sector.</w:t>
      </w:r>
    </w:p>
    <w:p w:rsidR="00AD683D" w:rsidRDefault="00AD683D" w:rsidP="00F5730D">
      <w:pPr>
        <w:jc w:val="both"/>
        <w:rPr>
          <w:lang w:val="en-US"/>
        </w:rPr>
      </w:pPr>
    </w:p>
    <w:p w:rsidR="00AD683D" w:rsidRDefault="00AD683D" w:rsidP="00F5730D">
      <w:pPr>
        <w:jc w:val="both"/>
        <w:rPr>
          <w:lang w:val="en-US"/>
        </w:rPr>
      </w:pPr>
      <w:r>
        <w:rPr>
          <w:lang w:val="en-US"/>
        </w:rPr>
        <w:t xml:space="preserve">There would be further rating </w:t>
      </w:r>
      <w:r w:rsidR="00A7113B">
        <w:rPr>
          <w:lang w:val="en-US"/>
        </w:rPr>
        <w:t xml:space="preserve">distribution </w:t>
      </w:r>
      <w:r>
        <w:rPr>
          <w:lang w:val="en-US"/>
        </w:rPr>
        <w:t>movements away from modern townhouse style developments on relatively small land parcels to older established homes on the more typical quarter acre residential block.</w:t>
      </w:r>
    </w:p>
    <w:p w:rsidR="00AD683D" w:rsidRDefault="00AD683D" w:rsidP="00F5730D">
      <w:pPr>
        <w:jc w:val="both"/>
        <w:rPr>
          <w:lang w:val="en-US"/>
        </w:rPr>
      </w:pPr>
    </w:p>
    <w:p w:rsidR="00AD683D" w:rsidRDefault="00AD683D" w:rsidP="00F5730D">
      <w:pPr>
        <w:jc w:val="both"/>
        <w:rPr>
          <w:lang w:val="en-US"/>
        </w:rPr>
      </w:pPr>
      <w:r>
        <w:rPr>
          <w:lang w:val="en-US"/>
        </w:rPr>
        <w:t>In many ways it is difficult to see an equity argument being served by the implementation of Site V</w:t>
      </w:r>
      <w:r w:rsidR="00B16AF6">
        <w:rPr>
          <w:lang w:val="en-US"/>
        </w:rPr>
        <w:t xml:space="preserve">alue in Maroondah City </w:t>
      </w:r>
      <w:r w:rsidR="0019151A">
        <w:rPr>
          <w:lang w:val="en-US"/>
        </w:rPr>
        <w:t>Council</w:t>
      </w:r>
      <w:r w:rsidR="00B16AF6">
        <w:rPr>
          <w:lang w:val="en-US"/>
        </w:rPr>
        <w:t>.</w:t>
      </w:r>
    </w:p>
    <w:p w:rsidR="00AD683D" w:rsidRDefault="00AD683D" w:rsidP="00AD683D">
      <w:pPr>
        <w:pStyle w:val="Heading2"/>
      </w:pPr>
      <w:bookmarkStart w:id="29" w:name="_Toc499624680"/>
      <w:r>
        <w:t>Advantages of Site Value</w:t>
      </w:r>
      <w:bookmarkEnd w:id="29"/>
    </w:p>
    <w:p w:rsidR="00A7113B" w:rsidRDefault="009A6BBE" w:rsidP="00A7113B">
      <w:pPr>
        <w:pStyle w:val="NoSpacing"/>
        <w:rPr>
          <w:lang w:val="en-US"/>
        </w:rPr>
      </w:pPr>
      <w:r>
        <w:rPr>
          <w:lang w:val="en-US"/>
        </w:rPr>
        <w:t>There is</w:t>
      </w:r>
      <w:r w:rsidR="00A7113B">
        <w:rPr>
          <w:lang w:val="en-US"/>
        </w:rPr>
        <w:t>:</w:t>
      </w:r>
    </w:p>
    <w:p w:rsidR="00AD683D" w:rsidRDefault="009A6BBE" w:rsidP="00A7113B">
      <w:pPr>
        <w:pStyle w:val="NoSpacing"/>
        <w:numPr>
          <w:ilvl w:val="0"/>
          <w:numId w:val="20"/>
        </w:numPr>
        <w:rPr>
          <w:lang w:val="en-US"/>
        </w:rPr>
      </w:pPr>
      <w:r>
        <w:rPr>
          <w:lang w:val="en-US"/>
        </w:rPr>
        <w:t>a perception that under site valuation, a uniform rate would promote development of land, particularly commercial and industrial developments.  There is however little evidence</w:t>
      </w:r>
      <w:r w:rsidR="00A7113B">
        <w:rPr>
          <w:lang w:val="en-US"/>
        </w:rPr>
        <w:t xml:space="preserve"> to prove that this is the case</w:t>
      </w:r>
    </w:p>
    <w:p w:rsidR="009A6BBE" w:rsidRDefault="009A6BBE" w:rsidP="00F96372">
      <w:pPr>
        <w:pStyle w:val="NoSpacing"/>
        <w:numPr>
          <w:ilvl w:val="0"/>
          <w:numId w:val="20"/>
        </w:numPr>
        <w:rPr>
          <w:lang w:val="en-US"/>
        </w:rPr>
      </w:pPr>
      <w:r>
        <w:rPr>
          <w:lang w:val="en-US"/>
        </w:rPr>
        <w:t>Scope for possible conces</w:t>
      </w:r>
      <w:r w:rsidR="00A7113B">
        <w:rPr>
          <w:lang w:val="en-US"/>
        </w:rPr>
        <w:t>sions for residential use land, to attract people to purchase and develop properties in the municipality</w:t>
      </w:r>
    </w:p>
    <w:p w:rsidR="009A6BBE" w:rsidRPr="009A6BBE" w:rsidRDefault="009A6BBE" w:rsidP="009A6BBE">
      <w:pPr>
        <w:pStyle w:val="Heading2"/>
      </w:pPr>
      <w:bookmarkStart w:id="30" w:name="_Toc499624681"/>
      <w:r>
        <w:t>Disadvantages in using Site Value</w:t>
      </w:r>
      <w:bookmarkEnd w:id="30"/>
    </w:p>
    <w:p w:rsidR="009A6BBE" w:rsidRDefault="009A6BBE" w:rsidP="00F96372">
      <w:pPr>
        <w:pStyle w:val="NoSpacing"/>
        <w:numPr>
          <w:ilvl w:val="0"/>
          <w:numId w:val="21"/>
        </w:numPr>
        <w:rPr>
          <w:lang w:val="en-US"/>
        </w:rPr>
      </w:pPr>
      <w:r>
        <w:rPr>
          <w:lang w:val="en-US"/>
        </w:rPr>
        <w:t xml:space="preserve">Under SV, there will be a significant shift from the Industrial/Commercial sector onto the residential sector of </w:t>
      </w:r>
      <w:r w:rsidR="0019151A">
        <w:rPr>
          <w:lang w:val="en-US"/>
        </w:rPr>
        <w:t>Council</w:t>
      </w:r>
      <w:r>
        <w:rPr>
          <w:lang w:val="en-US"/>
        </w:rPr>
        <w:t>.  The percentage increases in many cases will be in the extreme range.</w:t>
      </w:r>
    </w:p>
    <w:p w:rsidR="009A6BBE" w:rsidRDefault="009A6BBE" w:rsidP="00F96372">
      <w:pPr>
        <w:pStyle w:val="NoSpacing"/>
        <w:numPr>
          <w:ilvl w:val="0"/>
          <w:numId w:val="21"/>
        </w:numPr>
        <w:rPr>
          <w:lang w:val="en-US"/>
        </w:rPr>
      </w:pPr>
      <w:r>
        <w:rPr>
          <w:lang w:val="en-US"/>
        </w:rPr>
        <w:t xml:space="preserve">SV is a major burden on property owners that have large areas of land.  Some of these owners may have much smaller/older dwellings compared to those who have smaller land areas but </w:t>
      </w:r>
      <w:r w:rsidR="00A7113B">
        <w:rPr>
          <w:lang w:val="en-US"/>
        </w:rPr>
        <w:t>well-developed</w:t>
      </w:r>
      <w:r>
        <w:rPr>
          <w:lang w:val="en-US"/>
        </w:rPr>
        <w:t xml:space="preserve"> dwellings – but will pay more in rates.  A typical example is flat, units, townhouses which will all pay low rates compared to traditional housing styles.</w:t>
      </w:r>
    </w:p>
    <w:p w:rsidR="009A6BBE" w:rsidRDefault="009A6BBE" w:rsidP="00F96372">
      <w:pPr>
        <w:pStyle w:val="NoSpacing"/>
        <w:numPr>
          <w:ilvl w:val="0"/>
          <w:numId w:val="21"/>
        </w:numPr>
        <w:rPr>
          <w:lang w:val="en-US"/>
        </w:rPr>
      </w:pPr>
      <w:r>
        <w:rPr>
          <w:lang w:val="en-US"/>
        </w:rPr>
        <w:t xml:space="preserve">The use of SV can place pressure on </w:t>
      </w:r>
      <w:r w:rsidR="0019151A">
        <w:rPr>
          <w:lang w:val="en-US"/>
        </w:rPr>
        <w:t>Council</w:t>
      </w:r>
      <w:r>
        <w:rPr>
          <w:lang w:val="en-US"/>
        </w:rPr>
        <w:t xml:space="preserve"> to give concessions to categories of landowners on whom the rating burden is seen to fall disproportionately (e.g. farm land, urban farm land and residential use properties).  Large landowners, such as farmer</w:t>
      </w:r>
      <w:r w:rsidR="00C836E3">
        <w:rPr>
          <w:lang w:val="en-US"/>
        </w:rPr>
        <w:t>s for example, are disadvantaged</w:t>
      </w:r>
      <w:r>
        <w:rPr>
          <w:lang w:val="en-US"/>
        </w:rPr>
        <w:t xml:space="preserve"> by the use of site value.</w:t>
      </w:r>
      <w:r w:rsidR="00A7113B">
        <w:rPr>
          <w:lang w:val="en-US"/>
        </w:rPr>
        <w:t xml:space="preserve"> Maroondah doesn’t have any farm or urban farmland and hence this is not applicable for the Maroondah situation</w:t>
      </w:r>
      <w:r w:rsidR="000814C7">
        <w:rPr>
          <w:lang w:val="en-US"/>
        </w:rPr>
        <w:t>.</w:t>
      </w:r>
    </w:p>
    <w:p w:rsidR="009A6BBE" w:rsidRDefault="009A6BBE" w:rsidP="00F96372">
      <w:pPr>
        <w:pStyle w:val="NoSpacing"/>
        <w:numPr>
          <w:ilvl w:val="0"/>
          <w:numId w:val="21"/>
        </w:numPr>
        <w:rPr>
          <w:lang w:val="en-US"/>
        </w:rPr>
      </w:pPr>
      <w:r>
        <w:rPr>
          <w:lang w:val="en-US"/>
        </w:rPr>
        <w:t xml:space="preserve">SV will reduce </w:t>
      </w:r>
      <w:r w:rsidR="0019151A">
        <w:rPr>
          <w:lang w:val="en-US"/>
        </w:rPr>
        <w:t>Council</w:t>
      </w:r>
      <w:r>
        <w:rPr>
          <w:lang w:val="en-US"/>
        </w:rPr>
        <w:t>’s flexibility and options to deal with any rating inequities due to the removal of the ability to levy differential rates.</w:t>
      </w:r>
    </w:p>
    <w:p w:rsidR="005D53AC" w:rsidRDefault="005D53AC" w:rsidP="005D53AC">
      <w:pPr>
        <w:pStyle w:val="Heading2"/>
      </w:pPr>
      <w:bookmarkStart w:id="31" w:name="_Toc499624682"/>
      <w:r>
        <w:t>4.3 Net Annual Value (NAV)</w:t>
      </w:r>
      <w:bookmarkEnd w:id="31"/>
    </w:p>
    <w:p w:rsidR="005D53AC" w:rsidRDefault="005D53AC" w:rsidP="00F5730D">
      <w:pPr>
        <w:jc w:val="both"/>
        <w:rPr>
          <w:lang w:val="en-US"/>
        </w:rPr>
      </w:pPr>
      <w:r>
        <w:rPr>
          <w:lang w:val="en-US"/>
        </w:rPr>
        <w:t>Net annual value, in concept, represents the annual rental value of a property.  However, in practice, NAV is closely linked to capital improved value for residential and farm properties.  Valuers derive the NAV directly as 5 percent of CIV</w:t>
      </w:r>
      <w:r w:rsidR="00A7113B">
        <w:rPr>
          <w:lang w:val="en-US"/>
        </w:rPr>
        <w:t>.</w:t>
      </w:r>
    </w:p>
    <w:p w:rsidR="005D53AC" w:rsidRDefault="005D53AC" w:rsidP="00F5730D">
      <w:pPr>
        <w:jc w:val="both"/>
        <w:rPr>
          <w:lang w:val="en-US"/>
        </w:rPr>
      </w:pPr>
    </w:p>
    <w:p w:rsidR="005D53AC" w:rsidRDefault="005D53AC" w:rsidP="00F5730D">
      <w:pPr>
        <w:jc w:val="both"/>
        <w:rPr>
          <w:lang w:val="en-US"/>
        </w:rPr>
      </w:pPr>
      <w:r>
        <w:rPr>
          <w:lang w:val="en-US"/>
        </w:rPr>
        <w:t>In contrast to the treatment of residential and farms, Ne</w:t>
      </w:r>
      <w:r w:rsidR="00A7113B">
        <w:rPr>
          <w:lang w:val="en-US"/>
        </w:rPr>
        <w:t>t</w:t>
      </w:r>
      <w:r w:rsidR="00022209">
        <w:rPr>
          <w:lang w:val="en-US"/>
        </w:rPr>
        <w:t>t</w:t>
      </w:r>
      <w:r>
        <w:rPr>
          <w:lang w:val="en-US"/>
        </w:rPr>
        <w:t xml:space="preserve"> Annual Value for commercial and industrial properties is assessed </w:t>
      </w:r>
      <w:r w:rsidR="00CA3F11">
        <w:rPr>
          <w:lang w:val="en-US"/>
        </w:rPr>
        <w:t>regarding</w:t>
      </w:r>
      <w:r>
        <w:rPr>
          <w:lang w:val="en-US"/>
        </w:rPr>
        <w:t xml:space="preserve"> actual market rental.  This differing treatment of commercial versus residential and farms has led to some suggestions that all properties should be valued on a rental basis.</w:t>
      </w:r>
    </w:p>
    <w:p w:rsidR="005D53AC" w:rsidRDefault="005D53AC" w:rsidP="00F5730D">
      <w:pPr>
        <w:jc w:val="both"/>
        <w:rPr>
          <w:lang w:val="en-US"/>
        </w:rPr>
      </w:pPr>
    </w:p>
    <w:p w:rsidR="005D53AC" w:rsidRDefault="005D53AC" w:rsidP="00F5730D">
      <w:pPr>
        <w:jc w:val="both"/>
        <w:rPr>
          <w:lang w:val="en-US"/>
        </w:rPr>
      </w:pPr>
      <w:r>
        <w:rPr>
          <w:lang w:val="en-US"/>
        </w:rPr>
        <w:t>Overall, the use of NAV is not supported</w:t>
      </w:r>
      <w:r w:rsidR="00022209">
        <w:rPr>
          <w:lang w:val="en-US"/>
        </w:rPr>
        <w:t xml:space="preserve"> for the Maroondah situation</w:t>
      </w:r>
      <w:r>
        <w:rPr>
          <w:lang w:val="en-US"/>
        </w:rPr>
        <w:t xml:space="preserve">.  For residential and farm ratepayers, </w:t>
      </w:r>
      <w:r w:rsidR="00022209">
        <w:rPr>
          <w:lang w:val="en-US"/>
        </w:rPr>
        <w:t xml:space="preserve">typically </w:t>
      </w:r>
      <w:r>
        <w:rPr>
          <w:lang w:val="en-US"/>
        </w:rPr>
        <w:t>actual rental values pose some problems.  The artificial rental estimate used may not represent actual market value, and means the base is the same as CIV but is harder to understand.</w:t>
      </w:r>
    </w:p>
    <w:p w:rsidR="005D53AC" w:rsidRDefault="005D53AC" w:rsidP="00F5730D">
      <w:pPr>
        <w:jc w:val="both"/>
        <w:rPr>
          <w:lang w:val="en-US"/>
        </w:rPr>
      </w:pPr>
    </w:p>
    <w:p w:rsidR="005D53AC" w:rsidRDefault="005D53AC" w:rsidP="00F5730D">
      <w:pPr>
        <w:jc w:val="both"/>
        <w:rPr>
          <w:lang w:val="en-US"/>
        </w:rPr>
      </w:pPr>
      <w:r>
        <w:rPr>
          <w:lang w:val="en-US"/>
        </w:rPr>
        <w:t xml:space="preserve">In choosing a valuation base, </w:t>
      </w:r>
      <w:r w:rsidR="0019151A">
        <w:rPr>
          <w:lang w:val="en-US"/>
        </w:rPr>
        <w:t>Council</w:t>
      </w:r>
      <w:r>
        <w:rPr>
          <w:lang w:val="en-US"/>
        </w:rPr>
        <w:t xml:space="preserve">s must decide on whether they wish to adopt a differential rating system (difference rates in the dollar for different property categories) or a uniform rating system (same rate in the dollar).  If a </w:t>
      </w:r>
      <w:r w:rsidR="0019151A">
        <w:rPr>
          <w:lang w:val="en-US"/>
        </w:rPr>
        <w:t>Council</w:t>
      </w:r>
      <w:r>
        <w:rPr>
          <w:lang w:val="en-US"/>
        </w:rPr>
        <w:t xml:space="preserve"> was to choose the former, under the Act it must adopt either of the CIV or </w:t>
      </w:r>
      <w:r w:rsidR="00B16AF6">
        <w:rPr>
          <w:lang w:val="en-US"/>
        </w:rPr>
        <w:t>NAV methods of rating.</w:t>
      </w:r>
    </w:p>
    <w:p w:rsidR="005D53AC" w:rsidRDefault="005D53AC" w:rsidP="005D53AC">
      <w:pPr>
        <w:pStyle w:val="Heading2"/>
      </w:pPr>
      <w:bookmarkStart w:id="32" w:name="_Toc499624683"/>
      <w:r>
        <w:t>4.4 Summary</w:t>
      </w:r>
      <w:bookmarkEnd w:id="32"/>
    </w:p>
    <w:p w:rsidR="005D53AC" w:rsidRDefault="005D53AC" w:rsidP="004D0908">
      <w:pPr>
        <w:pStyle w:val="NoSpacing"/>
        <w:rPr>
          <w:lang w:val="en-US"/>
        </w:rPr>
      </w:pPr>
      <w:r>
        <w:rPr>
          <w:lang w:val="en-US"/>
        </w:rPr>
        <w:t xml:space="preserve">It is recommended that Maroondah City </w:t>
      </w:r>
      <w:r w:rsidR="0019151A">
        <w:rPr>
          <w:lang w:val="en-US"/>
        </w:rPr>
        <w:t>Council</w:t>
      </w:r>
      <w:r>
        <w:rPr>
          <w:lang w:val="en-US"/>
        </w:rPr>
        <w:t xml:space="preserve"> continue to apply Capital Improved Valuation as the</w:t>
      </w:r>
      <w:r w:rsidR="004D0908">
        <w:rPr>
          <w:lang w:val="en-US"/>
        </w:rPr>
        <w:t xml:space="preserve"> </w:t>
      </w:r>
      <w:r>
        <w:rPr>
          <w:lang w:val="en-US"/>
        </w:rPr>
        <w:t>valuation base for the following reasons:</w:t>
      </w:r>
      <w:r w:rsidR="00C836E3">
        <w:rPr>
          <w:lang w:val="en-US"/>
        </w:rPr>
        <w:br/>
      </w:r>
    </w:p>
    <w:p w:rsidR="005D53AC" w:rsidRDefault="005D53AC" w:rsidP="00F96372">
      <w:pPr>
        <w:pStyle w:val="NoSpacing"/>
        <w:numPr>
          <w:ilvl w:val="0"/>
          <w:numId w:val="22"/>
        </w:numPr>
        <w:jc w:val="both"/>
        <w:rPr>
          <w:lang w:val="en-US"/>
        </w:rPr>
      </w:pPr>
      <w:r>
        <w:rPr>
          <w:lang w:val="en-US"/>
        </w:rPr>
        <w:t xml:space="preserve">CIV </w:t>
      </w:r>
      <w:r w:rsidR="00044BFC">
        <w:rPr>
          <w:lang w:val="en-US"/>
        </w:rPr>
        <w:t>is</w:t>
      </w:r>
      <w:r>
        <w:rPr>
          <w:lang w:val="en-US"/>
        </w:rPr>
        <w:t xml:space="preserve"> the closest approximation to an equitable basis for distribution of the rating burden.</w:t>
      </w:r>
    </w:p>
    <w:p w:rsidR="005D53AC" w:rsidRDefault="005D53AC" w:rsidP="00F96372">
      <w:pPr>
        <w:pStyle w:val="NoSpacing"/>
        <w:numPr>
          <w:ilvl w:val="0"/>
          <w:numId w:val="22"/>
        </w:numPr>
        <w:jc w:val="both"/>
        <w:rPr>
          <w:lang w:val="en-US"/>
        </w:rPr>
      </w:pPr>
      <w:r>
        <w:rPr>
          <w:lang w:val="en-US"/>
        </w:rPr>
        <w:t xml:space="preserve">CIV provides </w:t>
      </w:r>
      <w:r w:rsidR="0019151A">
        <w:rPr>
          <w:lang w:val="en-US"/>
        </w:rPr>
        <w:t>Council</w:t>
      </w:r>
      <w:r>
        <w:rPr>
          <w:lang w:val="en-US"/>
        </w:rPr>
        <w:t xml:space="preserve"> with the ability to levy a full range of differential rates</w:t>
      </w:r>
      <w:r w:rsidR="00022209">
        <w:rPr>
          <w:lang w:val="en-US"/>
        </w:rPr>
        <w:t xml:space="preserve"> as is currently</w:t>
      </w:r>
      <w:r>
        <w:rPr>
          <w:lang w:val="en-US"/>
        </w:rPr>
        <w:t>.  Limited Differential rating only is available under the other rating bases.</w:t>
      </w:r>
    </w:p>
    <w:p w:rsidR="005D53AC" w:rsidRPr="009A5738" w:rsidRDefault="005D53AC" w:rsidP="00F96372">
      <w:pPr>
        <w:pStyle w:val="NoSpacing"/>
        <w:numPr>
          <w:ilvl w:val="0"/>
          <w:numId w:val="22"/>
        </w:numPr>
        <w:jc w:val="both"/>
        <w:rPr>
          <w:lang w:val="en-US"/>
        </w:rPr>
      </w:pPr>
      <w:r>
        <w:rPr>
          <w:lang w:val="en-US"/>
        </w:rPr>
        <w:t>It should be note</w:t>
      </w:r>
      <w:r w:rsidR="00022209">
        <w:rPr>
          <w:lang w:val="en-US"/>
        </w:rPr>
        <w:t>d</w:t>
      </w:r>
      <w:r>
        <w:rPr>
          <w:lang w:val="en-US"/>
        </w:rPr>
        <w:t xml:space="preserve"> that an overwhelming majority of Victorian </w:t>
      </w:r>
      <w:r w:rsidR="0019151A">
        <w:rPr>
          <w:lang w:val="en-US"/>
        </w:rPr>
        <w:t>Council</w:t>
      </w:r>
      <w:r>
        <w:rPr>
          <w:lang w:val="en-US"/>
        </w:rPr>
        <w:t>s apply CIV as their rating base and as such, it has a wider community acceptance and understanding than other rating bases.</w:t>
      </w:r>
    </w:p>
    <w:p w:rsidR="005D53AC" w:rsidRDefault="005D53AC" w:rsidP="00510740">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33" w:name="_Toc499624684"/>
      <w:r>
        <w:t>Strategy Recommendation</w:t>
      </w:r>
      <w:bookmarkEnd w:id="33"/>
    </w:p>
    <w:p w:rsidR="005F030C" w:rsidRDefault="005F030C" w:rsidP="0051074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That Maroondah City </w:t>
      </w:r>
      <w:r w:rsidR="0019151A">
        <w:rPr>
          <w:lang w:val="en-US"/>
        </w:rPr>
        <w:t>Council</w:t>
      </w:r>
      <w:r>
        <w:rPr>
          <w:lang w:val="en-US"/>
        </w:rPr>
        <w:t xml:space="preserve"> continues to apply Capital Improved Valuation </w:t>
      </w:r>
      <w:r w:rsidR="00022209">
        <w:rPr>
          <w:lang w:val="en-US"/>
        </w:rPr>
        <w:t>as</w:t>
      </w:r>
      <w:r>
        <w:rPr>
          <w:lang w:val="en-US"/>
        </w:rPr>
        <w:t xml:space="preserve"> the valuation methodology to levy </w:t>
      </w:r>
      <w:r w:rsidR="0019151A">
        <w:rPr>
          <w:lang w:val="en-US"/>
        </w:rPr>
        <w:t>Council</w:t>
      </w:r>
      <w:r>
        <w:rPr>
          <w:lang w:val="en-US"/>
        </w:rPr>
        <w:t xml:space="preserve"> rates.</w:t>
      </w:r>
    </w:p>
    <w:p w:rsidR="005F030C" w:rsidRDefault="005F030C" w:rsidP="005F030C">
      <w:pPr>
        <w:pStyle w:val="Heading1"/>
        <w:rPr>
          <w:lang w:val="en-US"/>
        </w:rPr>
      </w:pPr>
      <w:bookmarkStart w:id="34" w:name="_Toc499624685"/>
      <w:r>
        <w:rPr>
          <w:lang w:val="en-US"/>
        </w:rPr>
        <w:t>5.  Determining the rating system – uniform or differential?</w:t>
      </w:r>
      <w:bookmarkEnd w:id="34"/>
    </w:p>
    <w:p w:rsidR="005F030C" w:rsidRDefault="0019151A" w:rsidP="004D0908">
      <w:pPr>
        <w:jc w:val="both"/>
        <w:rPr>
          <w:lang w:val="en-US"/>
        </w:rPr>
      </w:pPr>
      <w:r>
        <w:rPr>
          <w:lang w:val="en-US"/>
        </w:rPr>
        <w:t>Council</w:t>
      </w:r>
      <w:r w:rsidR="005F030C">
        <w:rPr>
          <w:lang w:val="en-US"/>
        </w:rPr>
        <w:t xml:space="preserve"> may apply a uniform rate or differential rates to address the needs of the </w:t>
      </w:r>
      <w:r>
        <w:rPr>
          <w:lang w:val="en-US"/>
        </w:rPr>
        <w:t>Council</w:t>
      </w:r>
      <w:r w:rsidR="005F030C">
        <w:rPr>
          <w:lang w:val="en-US"/>
        </w:rPr>
        <w:t>.  They are quite differen</w:t>
      </w:r>
      <w:r w:rsidR="00022209">
        <w:rPr>
          <w:lang w:val="en-US"/>
        </w:rPr>
        <w:t>t</w:t>
      </w:r>
      <w:r w:rsidR="005F030C">
        <w:rPr>
          <w:lang w:val="en-US"/>
        </w:rPr>
        <w:t xml:space="preserve"> in application and have different administrative and appeal mechanisms that</w:t>
      </w:r>
      <w:r w:rsidR="00B16AF6">
        <w:rPr>
          <w:lang w:val="en-US"/>
        </w:rPr>
        <w:t xml:space="preserve"> </w:t>
      </w:r>
      <w:r w:rsidR="00071C8F">
        <w:rPr>
          <w:lang w:val="en-US"/>
        </w:rPr>
        <w:t>must</w:t>
      </w:r>
      <w:r w:rsidR="00B16AF6">
        <w:rPr>
          <w:lang w:val="en-US"/>
        </w:rPr>
        <w:t xml:space="preserve"> be </w:t>
      </w:r>
      <w:r w:rsidR="00071C8F">
        <w:rPr>
          <w:lang w:val="en-US"/>
        </w:rPr>
        <w:t>considered</w:t>
      </w:r>
      <w:r w:rsidR="00B16AF6">
        <w:rPr>
          <w:lang w:val="en-US"/>
        </w:rPr>
        <w:t>.</w:t>
      </w:r>
    </w:p>
    <w:p w:rsidR="005F030C" w:rsidRDefault="005F030C" w:rsidP="005F030C">
      <w:pPr>
        <w:pStyle w:val="Heading2"/>
      </w:pPr>
      <w:bookmarkStart w:id="35" w:name="_Toc499624686"/>
      <w:r>
        <w:t>5.1 Uniform rate</w:t>
      </w:r>
      <w:bookmarkEnd w:id="35"/>
    </w:p>
    <w:p w:rsidR="005F030C" w:rsidRDefault="005F030C" w:rsidP="004D0908">
      <w:pPr>
        <w:jc w:val="both"/>
        <w:rPr>
          <w:lang w:val="en-US"/>
        </w:rPr>
      </w:pPr>
      <w:r>
        <w:rPr>
          <w:lang w:val="en-US"/>
        </w:rPr>
        <w:t xml:space="preserve">Section 160 of the Act stipulates that if a </w:t>
      </w:r>
      <w:r w:rsidR="0019151A">
        <w:rPr>
          <w:lang w:val="en-US"/>
        </w:rPr>
        <w:t>Council</w:t>
      </w:r>
      <w:r>
        <w:rPr>
          <w:lang w:val="en-US"/>
        </w:rPr>
        <w:t xml:space="preserve"> declares that general rates will be raised by the application of a uniform rate, the </w:t>
      </w:r>
      <w:r w:rsidR="0019151A">
        <w:rPr>
          <w:lang w:val="en-US"/>
        </w:rPr>
        <w:t>Council</w:t>
      </w:r>
      <w:r>
        <w:rPr>
          <w:lang w:val="en-US"/>
        </w:rPr>
        <w:t xml:space="preserve"> must specify a percentage as the uniform rate.  Rates will be determined by multiplying that percentage by the value of the land.</w:t>
      </w:r>
    </w:p>
    <w:p w:rsidR="005F030C" w:rsidRDefault="005F030C" w:rsidP="004D0908">
      <w:pPr>
        <w:jc w:val="both"/>
        <w:rPr>
          <w:lang w:val="en-US"/>
        </w:rPr>
      </w:pPr>
    </w:p>
    <w:p w:rsidR="003D1962" w:rsidRDefault="005F030C" w:rsidP="004D0908">
      <w:pPr>
        <w:jc w:val="both"/>
        <w:rPr>
          <w:lang w:val="en-US"/>
        </w:rPr>
      </w:pPr>
      <w:r>
        <w:rPr>
          <w:lang w:val="en-US"/>
        </w:rPr>
        <w:t xml:space="preserve">Maroondah City </w:t>
      </w:r>
      <w:r w:rsidR="0019151A">
        <w:rPr>
          <w:lang w:val="en-US"/>
        </w:rPr>
        <w:t>Council</w:t>
      </w:r>
      <w:r>
        <w:rPr>
          <w:lang w:val="en-US"/>
        </w:rPr>
        <w:t xml:space="preserve"> does not adopt uniform rates, instead has adopted differential rating since changing </w:t>
      </w:r>
      <w:r w:rsidR="00022209">
        <w:rPr>
          <w:lang w:val="en-US"/>
        </w:rPr>
        <w:t xml:space="preserve">the </w:t>
      </w:r>
      <w:r w:rsidR="003D1962">
        <w:rPr>
          <w:lang w:val="en-US"/>
        </w:rPr>
        <w:t>rating system to Capital Improved Valuation methodology adopted in 2003.</w:t>
      </w:r>
    </w:p>
    <w:p w:rsidR="003D1962" w:rsidRDefault="003D1962" w:rsidP="004D0908">
      <w:pPr>
        <w:pStyle w:val="Heading2"/>
        <w:jc w:val="both"/>
      </w:pPr>
      <w:bookmarkStart w:id="36" w:name="_Toc499624687"/>
      <w:r>
        <w:t>5.2 Differential Rates</w:t>
      </w:r>
      <w:bookmarkEnd w:id="36"/>
    </w:p>
    <w:p w:rsidR="003D1962" w:rsidRDefault="003D1962" w:rsidP="004D0908">
      <w:pPr>
        <w:jc w:val="both"/>
        <w:rPr>
          <w:lang w:val="en-US"/>
        </w:rPr>
      </w:pPr>
      <w:r>
        <w:rPr>
          <w:lang w:val="en-US"/>
        </w:rPr>
        <w:t xml:space="preserve">Maroondah has adopted differential rating as it considers that differential rating contributes to the equitable distribution of the rating burden.  Differential rating allows </w:t>
      </w:r>
      <w:r w:rsidR="00071C8F">
        <w:rPr>
          <w:lang w:val="en-US"/>
        </w:rPr>
        <w:t>classes</w:t>
      </w:r>
      <w:r>
        <w:rPr>
          <w:lang w:val="en-US"/>
        </w:rPr>
        <w:t xml:space="preserve"> of properties to be assessed at differen</w:t>
      </w:r>
      <w:r w:rsidR="00022209">
        <w:rPr>
          <w:lang w:val="en-US"/>
        </w:rPr>
        <w:t>t</w:t>
      </w:r>
      <w:r>
        <w:rPr>
          <w:lang w:val="en-US"/>
        </w:rPr>
        <w:t xml:space="preserve"> levels from the general rate set for the municipality.  Differen</w:t>
      </w:r>
      <w:r w:rsidR="00F94B71">
        <w:rPr>
          <w:lang w:val="en-US"/>
        </w:rPr>
        <w:t xml:space="preserve">tial rating allows </w:t>
      </w:r>
      <w:r w:rsidR="0019151A">
        <w:rPr>
          <w:lang w:val="en-US"/>
        </w:rPr>
        <w:t>Council</w:t>
      </w:r>
      <w:r w:rsidR="00F94B71">
        <w:rPr>
          <w:lang w:val="en-US"/>
        </w:rPr>
        <w:t xml:space="preserve"> to shift part of the rate burden from some groups of ratepayers to others through different “rates in the dollar” for each class of property</w:t>
      </w:r>
      <w:r w:rsidR="00022209">
        <w:rPr>
          <w:lang w:val="en-US"/>
        </w:rPr>
        <w:t xml:space="preserve"> to equitably distribute the rate burden for all property owners</w:t>
      </w:r>
      <w:r w:rsidR="00F94B71">
        <w:rPr>
          <w:lang w:val="en-US"/>
        </w:rPr>
        <w:t>.</w:t>
      </w:r>
    </w:p>
    <w:p w:rsidR="00F94B71" w:rsidRDefault="00F94B71" w:rsidP="004D0908">
      <w:pPr>
        <w:jc w:val="both"/>
        <w:rPr>
          <w:lang w:val="en-US"/>
        </w:rPr>
      </w:pPr>
    </w:p>
    <w:p w:rsidR="00F94B71" w:rsidRDefault="00F94B71" w:rsidP="004D0908">
      <w:pPr>
        <w:jc w:val="both"/>
        <w:rPr>
          <w:lang w:val="en-US"/>
        </w:rPr>
      </w:pPr>
      <w:r>
        <w:rPr>
          <w:lang w:val="en-US"/>
        </w:rPr>
        <w:t xml:space="preserve">Under the </w:t>
      </w:r>
      <w:r w:rsidR="00635A1F" w:rsidRPr="00635A1F">
        <w:rPr>
          <w:i/>
          <w:lang w:val="en-US"/>
        </w:rPr>
        <w:t>Local Government Act</w:t>
      </w:r>
      <w:r>
        <w:rPr>
          <w:lang w:val="en-US"/>
        </w:rPr>
        <w:t xml:space="preserve"> (1989), </w:t>
      </w:r>
      <w:r w:rsidR="0019151A">
        <w:rPr>
          <w:lang w:val="en-US"/>
        </w:rPr>
        <w:t>Council</w:t>
      </w:r>
      <w:r>
        <w:rPr>
          <w:lang w:val="en-US"/>
        </w:rPr>
        <w:t xml:space="preserve"> is entit</w:t>
      </w:r>
      <w:r w:rsidR="00593224">
        <w:rPr>
          <w:lang w:val="en-US"/>
        </w:rPr>
        <w:t>led</w:t>
      </w:r>
      <w:r>
        <w:rPr>
          <w:lang w:val="en-US"/>
        </w:rPr>
        <w:t xml:space="preserve"> to apply differential rates provided it uses Capital Improved Valuations for its base for rating.</w:t>
      </w:r>
    </w:p>
    <w:p w:rsidR="00F94B71" w:rsidRDefault="00F94B71" w:rsidP="004D0908">
      <w:pPr>
        <w:jc w:val="both"/>
        <w:rPr>
          <w:lang w:val="en-US"/>
        </w:rPr>
      </w:pPr>
    </w:p>
    <w:p w:rsidR="00F94B71" w:rsidRDefault="00F94B71" w:rsidP="004D0908">
      <w:pPr>
        <w:jc w:val="both"/>
        <w:rPr>
          <w:lang w:val="en-US"/>
        </w:rPr>
      </w:pPr>
      <w:r>
        <w:rPr>
          <w:lang w:val="en-US"/>
        </w:rPr>
        <w:t>Section 161 outlines the regulations relating to differential rates.  This section is outlines below.</w:t>
      </w:r>
    </w:p>
    <w:p w:rsidR="005B2D50" w:rsidRDefault="005B2D50" w:rsidP="003D1962">
      <w:pPr>
        <w:rPr>
          <w:lang w:val="en-US"/>
        </w:rPr>
      </w:pPr>
    </w:p>
    <w:p w:rsidR="005B2D50" w:rsidRDefault="005B2D50" w:rsidP="00F96372">
      <w:pPr>
        <w:pStyle w:val="NoSpacing"/>
        <w:numPr>
          <w:ilvl w:val="0"/>
          <w:numId w:val="23"/>
        </w:numPr>
        <w:jc w:val="both"/>
        <w:rPr>
          <w:lang w:val="en-US"/>
        </w:rPr>
      </w:pPr>
      <w:r>
        <w:rPr>
          <w:lang w:val="en-US"/>
        </w:rPr>
        <w:t xml:space="preserve">A </w:t>
      </w:r>
      <w:r w:rsidR="0019151A">
        <w:rPr>
          <w:lang w:val="en-US"/>
        </w:rPr>
        <w:t>Council</w:t>
      </w:r>
      <w:r>
        <w:rPr>
          <w:lang w:val="en-US"/>
        </w:rPr>
        <w:t xml:space="preserve"> may raise any general rates by the application of a differential rate, if </w:t>
      </w:r>
      <w:r w:rsidR="0019151A">
        <w:rPr>
          <w:lang w:val="en-US"/>
        </w:rPr>
        <w:t>Council</w:t>
      </w:r>
      <w:r>
        <w:rPr>
          <w:lang w:val="en-US"/>
        </w:rPr>
        <w:t xml:space="preserve"> considers that the differential rate will contribute to the equitable and efficient carrying out of its functions.</w:t>
      </w:r>
      <w:r>
        <w:rPr>
          <w:lang w:val="en-US"/>
        </w:rPr>
        <w:br/>
      </w:r>
    </w:p>
    <w:p w:rsidR="005B2D50" w:rsidRDefault="005B2D50" w:rsidP="00F96372">
      <w:pPr>
        <w:pStyle w:val="NoSpacing"/>
        <w:numPr>
          <w:ilvl w:val="0"/>
          <w:numId w:val="23"/>
        </w:numPr>
        <w:rPr>
          <w:lang w:val="en-US"/>
        </w:rPr>
      </w:pPr>
      <w:r>
        <w:rPr>
          <w:lang w:val="en-US"/>
        </w:rPr>
        <w:t xml:space="preserve">If a </w:t>
      </w:r>
      <w:r w:rsidR="0019151A">
        <w:rPr>
          <w:lang w:val="en-US"/>
        </w:rPr>
        <w:t>Council</w:t>
      </w:r>
      <w:r>
        <w:rPr>
          <w:lang w:val="en-US"/>
        </w:rPr>
        <w:t xml:space="preserve"> declares a differential rate for any land, the </w:t>
      </w:r>
      <w:r w:rsidR="0019151A">
        <w:rPr>
          <w:lang w:val="en-US"/>
        </w:rPr>
        <w:t>Council</w:t>
      </w:r>
      <w:r>
        <w:rPr>
          <w:lang w:val="en-US"/>
        </w:rPr>
        <w:t xml:space="preserve"> must –</w:t>
      </w:r>
      <w:r>
        <w:rPr>
          <w:lang w:val="en-US"/>
        </w:rPr>
        <w:br/>
      </w:r>
    </w:p>
    <w:p w:rsidR="005B2D50" w:rsidRDefault="005B2D50" w:rsidP="00F96372">
      <w:pPr>
        <w:pStyle w:val="ListParagraph"/>
        <w:numPr>
          <w:ilvl w:val="1"/>
          <w:numId w:val="6"/>
        </w:numPr>
        <w:jc w:val="both"/>
        <w:rPr>
          <w:lang w:val="en-US"/>
        </w:rPr>
      </w:pPr>
      <w:r>
        <w:rPr>
          <w:lang w:val="en-US"/>
        </w:rPr>
        <w:t xml:space="preserve">Specify the objectives of the differential rate, which must be consistent with the equitable and efficient carrying out of the </w:t>
      </w:r>
      <w:r w:rsidR="0019151A">
        <w:rPr>
          <w:lang w:val="en-US"/>
        </w:rPr>
        <w:t>Council</w:t>
      </w:r>
      <w:r>
        <w:rPr>
          <w:lang w:val="en-US"/>
        </w:rPr>
        <w:t>s functions and must include the following:</w:t>
      </w:r>
      <w:r>
        <w:rPr>
          <w:lang w:val="en-US"/>
        </w:rPr>
        <w:br/>
      </w:r>
    </w:p>
    <w:p w:rsidR="005B2D50" w:rsidRDefault="005B2D50" w:rsidP="00F96372">
      <w:pPr>
        <w:pStyle w:val="ListParagraph"/>
        <w:numPr>
          <w:ilvl w:val="2"/>
          <w:numId w:val="6"/>
        </w:numPr>
        <w:jc w:val="both"/>
        <w:rPr>
          <w:lang w:val="en-US"/>
        </w:rPr>
      </w:pPr>
      <w:r>
        <w:rPr>
          <w:lang w:val="en-US"/>
        </w:rPr>
        <w:t xml:space="preserve">A definition of the types of classes of land which are subject to the rate and a statement of the reasons for </w:t>
      </w:r>
      <w:r w:rsidR="009A5738">
        <w:rPr>
          <w:lang w:val="en-US"/>
        </w:rPr>
        <w:t>the use and level of that rate.</w:t>
      </w:r>
    </w:p>
    <w:p w:rsidR="005B2D50" w:rsidRDefault="005B2D50" w:rsidP="00F96372">
      <w:pPr>
        <w:pStyle w:val="ListParagraph"/>
        <w:numPr>
          <w:ilvl w:val="2"/>
          <w:numId w:val="6"/>
        </w:numPr>
        <w:jc w:val="both"/>
        <w:rPr>
          <w:lang w:val="en-US"/>
        </w:rPr>
      </w:pPr>
      <w:r>
        <w:rPr>
          <w:lang w:val="en-US"/>
        </w:rPr>
        <w:t xml:space="preserve">An identification of the type or classes of land which are subject to the rate in respect of the uses, geographic location (other than location on the basis of whether or not the land is within a specific ward in </w:t>
      </w:r>
      <w:r w:rsidR="0019151A">
        <w:rPr>
          <w:lang w:val="en-US"/>
        </w:rPr>
        <w:t>Council</w:t>
      </w:r>
      <w:r>
        <w:rPr>
          <w:lang w:val="en-US"/>
        </w:rPr>
        <w:t>s district)</w:t>
      </w:r>
      <w:r>
        <w:rPr>
          <w:lang w:val="en-US"/>
        </w:rPr>
        <w:br/>
      </w:r>
    </w:p>
    <w:p w:rsidR="005B2D50" w:rsidRDefault="005B2D50" w:rsidP="00F96372">
      <w:pPr>
        <w:pStyle w:val="ListParagraph"/>
        <w:numPr>
          <w:ilvl w:val="1"/>
          <w:numId w:val="6"/>
        </w:numPr>
        <w:rPr>
          <w:lang w:val="en-US"/>
        </w:rPr>
      </w:pPr>
      <w:r>
        <w:rPr>
          <w:lang w:val="en-US"/>
        </w:rPr>
        <w:t>Specify the characteristics of the land, which are the criteria for declaring the differential rate</w:t>
      </w:r>
      <w:r>
        <w:rPr>
          <w:lang w:val="en-US"/>
        </w:rPr>
        <w:br/>
      </w:r>
    </w:p>
    <w:p w:rsidR="005B2D50" w:rsidRDefault="005B2D50" w:rsidP="004D0908">
      <w:pPr>
        <w:jc w:val="both"/>
        <w:rPr>
          <w:lang w:val="en-US"/>
        </w:rPr>
      </w:pPr>
      <w:r>
        <w:rPr>
          <w:lang w:val="en-US"/>
        </w:rPr>
        <w:t>The maximum differential allowed is no more than four times the lowest differential.</w:t>
      </w:r>
    </w:p>
    <w:p w:rsidR="005B2D50" w:rsidRDefault="005B2D50" w:rsidP="004D0908">
      <w:pPr>
        <w:jc w:val="both"/>
        <w:rPr>
          <w:lang w:val="en-US"/>
        </w:rPr>
      </w:pPr>
    </w:p>
    <w:p w:rsidR="005B2D50" w:rsidRDefault="0019151A" w:rsidP="004D0908">
      <w:pPr>
        <w:jc w:val="both"/>
        <w:rPr>
          <w:lang w:val="en-US"/>
        </w:rPr>
      </w:pPr>
      <w:r>
        <w:rPr>
          <w:lang w:val="en-US"/>
        </w:rPr>
        <w:t>Council</w:t>
      </w:r>
      <w:r w:rsidR="005B2D50">
        <w:rPr>
          <w:lang w:val="en-US"/>
        </w:rPr>
        <w:t>, in striking the rate through the Annual Budget process sets the differential rate for set classes of properties at higher or lower amounts than the general rate.</w:t>
      </w:r>
    </w:p>
    <w:p w:rsidR="005B2D50" w:rsidRDefault="005B2D50" w:rsidP="004D0908">
      <w:pPr>
        <w:jc w:val="both"/>
        <w:rPr>
          <w:lang w:val="en-US"/>
        </w:rPr>
      </w:pPr>
    </w:p>
    <w:p w:rsidR="005B2D50" w:rsidRDefault="005B2D50" w:rsidP="004D0908">
      <w:pPr>
        <w:jc w:val="both"/>
        <w:rPr>
          <w:lang w:val="en-US"/>
        </w:rPr>
      </w:pPr>
      <w:r>
        <w:rPr>
          <w:lang w:val="en-US"/>
        </w:rPr>
        <w:t xml:space="preserve">Currently there </w:t>
      </w:r>
      <w:r w:rsidR="005C5BD3">
        <w:rPr>
          <w:lang w:val="en-US"/>
        </w:rPr>
        <w:t xml:space="preserve">are </w:t>
      </w:r>
      <w:r w:rsidR="00022209">
        <w:rPr>
          <w:lang w:val="en-US"/>
        </w:rPr>
        <w:t>three</w:t>
      </w:r>
      <w:r>
        <w:rPr>
          <w:lang w:val="en-US"/>
        </w:rPr>
        <w:t xml:space="preserve"> different </w:t>
      </w:r>
      <w:r w:rsidR="00022209">
        <w:rPr>
          <w:lang w:val="en-US"/>
        </w:rPr>
        <w:t xml:space="preserve">classes </w:t>
      </w:r>
      <w:r>
        <w:rPr>
          <w:lang w:val="en-US"/>
        </w:rPr>
        <w:t xml:space="preserve">of rates as outlined in section </w:t>
      </w:r>
      <w:r w:rsidR="00022209">
        <w:rPr>
          <w:lang w:val="en-US"/>
        </w:rPr>
        <w:t>3</w:t>
      </w:r>
      <w:r>
        <w:rPr>
          <w:lang w:val="en-US"/>
        </w:rPr>
        <w:t xml:space="preserve"> of this Rating Strategy.</w:t>
      </w:r>
    </w:p>
    <w:p w:rsidR="005B2D50" w:rsidRDefault="009D2E57" w:rsidP="009D2E57">
      <w:pPr>
        <w:pStyle w:val="Heading2"/>
      </w:pPr>
      <w:bookmarkStart w:id="37" w:name="_Toc499624688"/>
      <w:r>
        <w:t>5.3 Objective of the rate and characteristics</w:t>
      </w:r>
      <w:bookmarkEnd w:id="37"/>
    </w:p>
    <w:p w:rsidR="009D2E57" w:rsidRDefault="009D2E57" w:rsidP="004D0908">
      <w:pPr>
        <w:jc w:val="both"/>
        <w:rPr>
          <w:lang w:val="en-US"/>
        </w:rPr>
      </w:pPr>
      <w:r>
        <w:rPr>
          <w:lang w:val="en-US"/>
        </w:rPr>
        <w:t xml:space="preserve">For the declared differential </w:t>
      </w:r>
      <w:r w:rsidR="00B27062">
        <w:rPr>
          <w:lang w:val="en-US"/>
        </w:rPr>
        <w:t>rates,</w:t>
      </w:r>
      <w:r>
        <w:rPr>
          <w:lang w:val="en-US"/>
        </w:rPr>
        <w:t xml:space="preserve"> it is considered that each differential rate will be used to contribute to the equitable and efficient carrying out of </w:t>
      </w:r>
      <w:r w:rsidR="0019151A">
        <w:rPr>
          <w:lang w:val="en-US"/>
        </w:rPr>
        <w:t>Council</w:t>
      </w:r>
      <w:r>
        <w:rPr>
          <w:lang w:val="en-US"/>
        </w:rPr>
        <w:t xml:space="preserve">’s functions.  The following are the objectives of the differential rates </w:t>
      </w:r>
      <w:r w:rsidR="00CA3F11">
        <w:rPr>
          <w:lang w:val="en-US"/>
        </w:rPr>
        <w:t>currently adopted at Maroondah:</w:t>
      </w:r>
    </w:p>
    <w:p w:rsidR="009D2E57" w:rsidRDefault="009D2E57" w:rsidP="009D2E57">
      <w:pPr>
        <w:pStyle w:val="Heading2"/>
      </w:pPr>
      <w:bookmarkStart w:id="38" w:name="_Toc499624689"/>
      <w:r>
        <w:t xml:space="preserve">Vacant </w:t>
      </w:r>
      <w:r w:rsidR="003659BB">
        <w:t xml:space="preserve">residential </w:t>
      </w:r>
      <w:r>
        <w:t>land</w:t>
      </w:r>
      <w:bookmarkEnd w:id="38"/>
    </w:p>
    <w:p w:rsidR="009D2E57" w:rsidRDefault="009D2E57" w:rsidP="004D0908">
      <w:pPr>
        <w:jc w:val="both"/>
        <w:rPr>
          <w:lang w:val="en-US"/>
        </w:rPr>
      </w:pPr>
      <w:r>
        <w:rPr>
          <w:lang w:val="en-US"/>
        </w:rPr>
        <w:t xml:space="preserve">The vacant </w:t>
      </w:r>
      <w:r w:rsidR="003659BB">
        <w:rPr>
          <w:lang w:val="en-US"/>
        </w:rPr>
        <w:t xml:space="preserve">residential </w:t>
      </w:r>
      <w:r>
        <w:rPr>
          <w:lang w:val="en-US"/>
        </w:rPr>
        <w:t>land rate is to promote housing development objectives for the municipality including the development of vacant land in residential zoned areas.</w:t>
      </w:r>
    </w:p>
    <w:p w:rsidR="009D2E57" w:rsidRDefault="009D2E57" w:rsidP="004D0908">
      <w:pPr>
        <w:jc w:val="both"/>
        <w:rPr>
          <w:lang w:val="en-US"/>
        </w:rPr>
      </w:pPr>
    </w:p>
    <w:p w:rsidR="009D2E57" w:rsidRDefault="009D2E57" w:rsidP="004D0908">
      <w:pPr>
        <w:jc w:val="both"/>
        <w:rPr>
          <w:i/>
          <w:lang w:val="en-US"/>
        </w:rPr>
      </w:pPr>
      <w:r>
        <w:rPr>
          <w:i/>
          <w:lang w:val="en-US"/>
        </w:rPr>
        <w:t>Taxation principle</w:t>
      </w:r>
      <w:r w:rsidR="00022209">
        <w:rPr>
          <w:i/>
          <w:lang w:val="en-US"/>
        </w:rPr>
        <w:t>.</w:t>
      </w:r>
    </w:p>
    <w:p w:rsidR="005C5BD3" w:rsidRDefault="009D2E57" w:rsidP="004D0908">
      <w:pPr>
        <w:jc w:val="both"/>
        <w:rPr>
          <w:i/>
          <w:lang w:val="en-US"/>
        </w:rPr>
      </w:pPr>
      <w:r>
        <w:rPr>
          <w:i/>
          <w:lang w:val="en-US"/>
        </w:rPr>
        <w:t xml:space="preserve">The taxation principle applied in this differential is the efficiency principle where </w:t>
      </w:r>
      <w:r w:rsidR="0019151A">
        <w:rPr>
          <w:i/>
          <w:lang w:val="en-US"/>
        </w:rPr>
        <w:t>Council</w:t>
      </w:r>
      <w:r>
        <w:rPr>
          <w:i/>
          <w:lang w:val="en-US"/>
        </w:rPr>
        <w:t xml:space="preserve"> is endeavouring to discourage the banking of residential land and provide a financial incentive for its development.</w:t>
      </w:r>
    </w:p>
    <w:p w:rsidR="009D2E57" w:rsidRDefault="009D2E57" w:rsidP="009D2E57">
      <w:pPr>
        <w:pStyle w:val="Heading2"/>
      </w:pPr>
      <w:bookmarkStart w:id="39" w:name="_Toc499624690"/>
      <w:r>
        <w:t>5.4 Advantages of a differential rating system</w:t>
      </w:r>
      <w:bookmarkEnd w:id="39"/>
    </w:p>
    <w:p w:rsidR="009D2E57" w:rsidRDefault="009D2E57" w:rsidP="00022209">
      <w:pPr>
        <w:pStyle w:val="NoSpacing"/>
        <w:ind w:left="720"/>
        <w:rPr>
          <w:lang w:val="en-US"/>
        </w:rPr>
      </w:pPr>
      <w:r>
        <w:rPr>
          <w:lang w:val="en-US"/>
        </w:rPr>
        <w:t xml:space="preserve">The perceived advantages of utilising a </w:t>
      </w:r>
      <w:r w:rsidR="007879D3">
        <w:rPr>
          <w:lang w:val="en-US"/>
        </w:rPr>
        <w:t>differential rating system are</w:t>
      </w:r>
      <w:r w:rsidR="00562C6C">
        <w:rPr>
          <w:lang w:val="en-US"/>
        </w:rPr>
        <w:t xml:space="preserve"> that t</w:t>
      </w:r>
      <w:r>
        <w:rPr>
          <w:lang w:val="en-US"/>
        </w:rPr>
        <w:t xml:space="preserve">here is greater </w:t>
      </w:r>
      <w:r w:rsidR="00E75553">
        <w:rPr>
          <w:lang w:val="en-US"/>
        </w:rPr>
        <w:t>flexibility to distribute the rate burden between all classes of property, and therefore link rates with the ability to pay and reflecting the tax deductibility of rates for commercial and industrial premises;</w:t>
      </w:r>
      <w:r w:rsidR="00562C6C">
        <w:rPr>
          <w:lang w:val="en-US"/>
        </w:rPr>
        <w:br/>
      </w:r>
    </w:p>
    <w:p w:rsidR="00E75553" w:rsidRDefault="00E75553" w:rsidP="00F96372">
      <w:pPr>
        <w:pStyle w:val="NoSpacing"/>
        <w:numPr>
          <w:ilvl w:val="0"/>
          <w:numId w:val="24"/>
        </w:numPr>
        <w:rPr>
          <w:lang w:val="en-US"/>
        </w:rPr>
      </w:pPr>
      <w:r>
        <w:rPr>
          <w:lang w:val="en-US"/>
        </w:rPr>
        <w:t xml:space="preserve">Differential rating allows </w:t>
      </w:r>
      <w:r w:rsidR="0019151A">
        <w:rPr>
          <w:lang w:val="en-US"/>
        </w:rPr>
        <w:t>Council</w:t>
      </w:r>
      <w:r>
        <w:rPr>
          <w:lang w:val="en-US"/>
        </w:rPr>
        <w:t xml:space="preserve"> to better reflect the investment required by </w:t>
      </w:r>
      <w:r w:rsidR="0019151A">
        <w:rPr>
          <w:lang w:val="en-US"/>
        </w:rPr>
        <w:t>Council</w:t>
      </w:r>
      <w:r>
        <w:rPr>
          <w:lang w:val="en-US"/>
        </w:rPr>
        <w:t xml:space="preserve"> to establish infrastructure to meet the needs of the commercial and industrial sector;</w:t>
      </w:r>
    </w:p>
    <w:p w:rsidR="00E75553" w:rsidRDefault="00E75553" w:rsidP="00F96372">
      <w:pPr>
        <w:pStyle w:val="NoSpacing"/>
        <w:numPr>
          <w:ilvl w:val="0"/>
          <w:numId w:val="24"/>
        </w:numPr>
        <w:rPr>
          <w:lang w:val="en-US"/>
        </w:rPr>
      </w:pPr>
      <w:r>
        <w:rPr>
          <w:lang w:val="en-US"/>
        </w:rPr>
        <w:t xml:space="preserve">Enables </w:t>
      </w:r>
      <w:r w:rsidR="0019151A">
        <w:rPr>
          <w:lang w:val="en-US"/>
        </w:rPr>
        <w:t>Council</w:t>
      </w:r>
      <w:r>
        <w:rPr>
          <w:lang w:val="en-US"/>
        </w:rPr>
        <w:t xml:space="preserve"> to encourage particular developments through its rating approach e.g. encourage building on vacant blocks;</w:t>
      </w:r>
    </w:p>
    <w:p w:rsidR="00E75553" w:rsidRDefault="00E75553" w:rsidP="00F96372">
      <w:pPr>
        <w:pStyle w:val="NoSpacing"/>
        <w:numPr>
          <w:ilvl w:val="0"/>
          <w:numId w:val="24"/>
        </w:numPr>
        <w:jc w:val="both"/>
        <w:rPr>
          <w:lang w:val="en-US"/>
        </w:rPr>
      </w:pPr>
      <w:r>
        <w:rPr>
          <w:lang w:val="en-US"/>
        </w:rPr>
        <w:t xml:space="preserve">Allows </w:t>
      </w:r>
      <w:r w:rsidR="0019151A">
        <w:rPr>
          <w:lang w:val="en-US"/>
        </w:rPr>
        <w:t>Council</w:t>
      </w:r>
      <w:r>
        <w:rPr>
          <w:lang w:val="en-US"/>
        </w:rPr>
        <w:t xml:space="preserve"> to reflect the unique circumstances of some rating categories where the application of a uniform rate may create an inequitable outcome (e.g. Farming enterprises</w:t>
      </w:r>
      <w:r w:rsidR="00562C6C">
        <w:rPr>
          <w:lang w:val="en-US"/>
        </w:rPr>
        <w:t xml:space="preserve"> these are not applicable in Maroondah</w:t>
      </w:r>
      <w:r w:rsidR="000814C7">
        <w:rPr>
          <w:lang w:val="en-US"/>
        </w:rPr>
        <w:t>).</w:t>
      </w:r>
    </w:p>
    <w:p w:rsidR="00E75553" w:rsidRDefault="00E75553" w:rsidP="00F96372">
      <w:pPr>
        <w:pStyle w:val="NoSpacing"/>
        <w:numPr>
          <w:ilvl w:val="0"/>
          <w:numId w:val="24"/>
        </w:numPr>
        <w:jc w:val="both"/>
        <w:rPr>
          <w:lang w:val="en-US"/>
        </w:rPr>
      </w:pPr>
      <w:r>
        <w:rPr>
          <w:lang w:val="en-US"/>
        </w:rPr>
        <w:t xml:space="preserve">Allows </w:t>
      </w:r>
      <w:r w:rsidR="0019151A">
        <w:rPr>
          <w:lang w:val="en-US"/>
        </w:rPr>
        <w:t>Council</w:t>
      </w:r>
      <w:r>
        <w:rPr>
          <w:lang w:val="en-US"/>
        </w:rPr>
        <w:t xml:space="preserve"> discretion on the imposition of rates to ‘facilitate and encourage appropriate development of its municipal district in the best interest of the community’.</w:t>
      </w:r>
    </w:p>
    <w:p w:rsidR="00E75553" w:rsidRDefault="00E75553" w:rsidP="00CA3F11">
      <w:pPr>
        <w:pStyle w:val="Heading2"/>
      </w:pPr>
      <w:bookmarkStart w:id="40" w:name="_Toc499624691"/>
      <w:r>
        <w:t>5.5 Disadvantages of differential rating</w:t>
      </w:r>
      <w:bookmarkEnd w:id="40"/>
    </w:p>
    <w:p w:rsidR="00E75553" w:rsidRPr="00E75553" w:rsidRDefault="00E75553" w:rsidP="007879D3">
      <w:pPr>
        <w:pStyle w:val="NoSpacing"/>
        <w:spacing w:after="60"/>
      </w:pPr>
      <w:r>
        <w:t>The perceived disadvantages in ap</w:t>
      </w:r>
      <w:r w:rsidR="007879D3">
        <w:t>plying differential rating are:</w:t>
      </w:r>
    </w:p>
    <w:p w:rsidR="00E75553" w:rsidRDefault="00E75553" w:rsidP="00F96372">
      <w:pPr>
        <w:pStyle w:val="NoSpacing"/>
        <w:numPr>
          <w:ilvl w:val="0"/>
          <w:numId w:val="25"/>
        </w:numPr>
        <w:jc w:val="both"/>
        <w:rPr>
          <w:lang w:val="en-US"/>
        </w:rPr>
      </w:pPr>
      <w:r>
        <w:rPr>
          <w:lang w:val="en-US"/>
        </w:rPr>
        <w:t>The justification of the differential rate can at times be difficult for the various rating groups to accept giving rise to queries, objections, and complaints where the differentials may seem to be excessive;</w:t>
      </w:r>
    </w:p>
    <w:p w:rsidR="00E75553" w:rsidRDefault="00E75553" w:rsidP="00F96372">
      <w:pPr>
        <w:pStyle w:val="NoSpacing"/>
        <w:numPr>
          <w:ilvl w:val="0"/>
          <w:numId w:val="25"/>
        </w:numPr>
        <w:jc w:val="both"/>
        <w:rPr>
          <w:lang w:val="en-US"/>
        </w:rPr>
      </w:pPr>
      <w:r>
        <w:rPr>
          <w:lang w:val="en-US"/>
        </w:rPr>
        <w:t xml:space="preserve">Differential rates can be confusing to ratepayers, as they may have difficulty to understand the system.  Some rating categories may feel they are unfavorably treated because they are paying </w:t>
      </w:r>
      <w:r w:rsidR="00F2038B">
        <w:rPr>
          <w:lang w:val="en-US"/>
        </w:rPr>
        <w:t>a higher level of rates than other ratepayer groups;</w:t>
      </w:r>
    </w:p>
    <w:p w:rsidR="00F2038B" w:rsidRDefault="00F2038B" w:rsidP="00F96372">
      <w:pPr>
        <w:pStyle w:val="NoSpacing"/>
        <w:numPr>
          <w:ilvl w:val="0"/>
          <w:numId w:val="25"/>
        </w:numPr>
        <w:jc w:val="both"/>
        <w:rPr>
          <w:lang w:val="en-US"/>
        </w:rPr>
      </w:pPr>
      <w:r>
        <w:rPr>
          <w:lang w:val="en-US"/>
        </w:rPr>
        <w:t>Differential rating involves a degree of administrative complexit</w:t>
      </w:r>
      <w:r w:rsidR="003659BB">
        <w:rPr>
          <w:lang w:val="en-US"/>
        </w:rPr>
        <w:t>y as properties continually shif</w:t>
      </w:r>
      <w:r>
        <w:rPr>
          <w:lang w:val="en-US"/>
        </w:rPr>
        <w:t xml:space="preserve">t from one type to another (e.g. residential to commercial, vacant to developed) requiring </w:t>
      </w:r>
      <w:r w:rsidR="0019151A">
        <w:rPr>
          <w:lang w:val="en-US"/>
        </w:rPr>
        <w:t>Council</w:t>
      </w:r>
      <w:r>
        <w:rPr>
          <w:lang w:val="en-US"/>
        </w:rPr>
        <w:t xml:space="preserve"> to update its records.  Ensuring the accuracy/integrity of </w:t>
      </w:r>
      <w:r w:rsidR="0019151A">
        <w:rPr>
          <w:lang w:val="en-US"/>
        </w:rPr>
        <w:t>Council</w:t>
      </w:r>
      <w:r>
        <w:rPr>
          <w:lang w:val="en-US"/>
        </w:rPr>
        <w:t>’s data base is critical to ensure that properties are correctly classified into their differential rate category.</w:t>
      </w:r>
    </w:p>
    <w:p w:rsidR="00F2038B" w:rsidRDefault="00F2038B" w:rsidP="00510740">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41" w:name="_Toc499624692"/>
      <w:r>
        <w:t>Strategy Recommendation</w:t>
      </w:r>
      <w:bookmarkEnd w:id="41"/>
    </w:p>
    <w:p w:rsidR="00F2038B" w:rsidRDefault="00F2038B" w:rsidP="0051074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sidRPr="00CA3F11">
        <w:rPr>
          <w:lang w:val="en-US"/>
        </w:rPr>
        <w:t xml:space="preserve">That Maroondah City </w:t>
      </w:r>
      <w:r w:rsidR="0019151A">
        <w:rPr>
          <w:lang w:val="en-US"/>
        </w:rPr>
        <w:t>Council</w:t>
      </w:r>
      <w:r w:rsidRPr="00CA3F11">
        <w:rPr>
          <w:lang w:val="en-US"/>
        </w:rPr>
        <w:t xml:space="preserve"> continues </w:t>
      </w:r>
      <w:r w:rsidR="00562C6C">
        <w:rPr>
          <w:lang w:val="en-US"/>
        </w:rPr>
        <w:t>to apply differential ratings within</w:t>
      </w:r>
      <w:r w:rsidRPr="00CA3F11">
        <w:rPr>
          <w:lang w:val="en-US"/>
        </w:rPr>
        <w:t xml:space="preserve"> its rating strategy</w:t>
      </w:r>
      <w:r w:rsidR="005C5BD3">
        <w:rPr>
          <w:lang w:val="en-US"/>
        </w:rPr>
        <w:t>.</w:t>
      </w:r>
    </w:p>
    <w:p w:rsidR="00CA3F11" w:rsidRPr="00F2038B" w:rsidRDefault="00CA3F11" w:rsidP="00F2038B">
      <w:pPr>
        <w:rPr>
          <w:lang w:val="en-US"/>
        </w:rPr>
      </w:pPr>
    </w:p>
    <w:p w:rsidR="005D53AC" w:rsidRPr="005C5BD3" w:rsidRDefault="00F2038B" w:rsidP="00F2038B">
      <w:pPr>
        <w:pStyle w:val="Heading1"/>
        <w:rPr>
          <w:lang w:val="en-US"/>
        </w:rPr>
      </w:pPr>
      <w:bookmarkStart w:id="42" w:name="_Toc499624693"/>
      <w:r w:rsidRPr="005C5BD3">
        <w:rPr>
          <w:lang w:val="en-US"/>
        </w:rPr>
        <w:t xml:space="preserve">6.  What differential rates should be </w:t>
      </w:r>
      <w:r w:rsidR="00FE3A3C">
        <w:rPr>
          <w:lang w:val="en-US"/>
        </w:rPr>
        <w:t>considered</w:t>
      </w:r>
      <w:r w:rsidRPr="005C5BD3">
        <w:rPr>
          <w:lang w:val="en-US"/>
        </w:rPr>
        <w:t>?</w:t>
      </w:r>
      <w:bookmarkEnd w:id="42"/>
    </w:p>
    <w:p w:rsidR="00F2038B" w:rsidRDefault="00F2038B" w:rsidP="004D0908">
      <w:pPr>
        <w:jc w:val="both"/>
        <w:rPr>
          <w:lang w:val="en-US"/>
        </w:rPr>
      </w:pPr>
      <w:r w:rsidRPr="005C5BD3">
        <w:rPr>
          <w:lang w:val="en-US"/>
        </w:rPr>
        <w:t xml:space="preserve">The table below highlights the differential rates currently applied by Maroondah City </w:t>
      </w:r>
      <w:r w:rsidR="0019151A">
        <w:rPr>
          <w:lang w:val="en-US"/>
        </w:rPr>
        <w:t>Council</w:t>
      </w:r>
      <w:r w:rsidRPr="005C5BD3">
        <w:rPr>
          <w:lang w:val="en-US"/>
        </w:rPr>
        <w:t xml:space="preserve"> and the number of relevant assessments in each category.</w:t>
      </w:r>
    </w:p>
    <w:p w:rsidR="003659BB" w:rsidRDefault="003659BB" w:rsidP="00F2038B">
      <w:pPr>
        <w:rPr>
          <w:lang w:val="en-US"/>
        </w:rPr>
      </w:pPr>
    </w:p>
    <w:tbl>
      <w:tblPr>
        <w:tblStyle w:val="TableGrid"/>
        <w:tblW w:w="0" w:type="auto"/>
        <w:tblInd w:w="250" w:type="dxa"/>
        <w:tblLook w:val="04A0" w:firstRow="1" w:lastRow="0" w:firstColumn="1" w:lastColumn="0" w:noHBand="0" w:noVBand="1"/>
      </w:tblPr>
      <w:tblGrid>
        <w:gridCol w:w="3587"/>
        <w:gridCol w:w="2506"/>
        <w:gridCol w:w="2222"/>
        <w:gridCol w:w="1891"/>
      </w:tblGrid>
      <w:tr w:rsidR="00540ACA" w:rsidRPr="00540ACA" w:rsidTr="00540ACA">
        <w:tc>
          <w:tcPr>
            <w:tcW w:w="3689" w:type="dxa"/>
            <w:shd w:val="clear" w:color="auto" w:fill="1F497D" w:themeFill="text2"/>
          </w:tcPr>
          <w:p w:rsidR="00CA3F11" w:rsidRPr="00540ACA" w:rsidRDefault="00CA3F11" w:rsidP="00F2038B">
            <w:pPr>
              <w:rPr>
                <w:b/>
                <w:color w:val="FFFFFF" w:themeColor="background1"/>
                <w:lang w:val="en-US"/>
              </w:rPr>
            </w:pPr>
            <w:r w:rsidRPr="00540ACA">
              <w:rPr>
                <w:b/>
                <w:color w:val="FFFFFF" w:themeColor="background1"/>
                <w:lang w:val="en-US"/>
              </w:rPr>
              <w:t>Type o</w:t>
            </w:r>
            <w:r w:rsidR="00562C6C" w:rsidRPr="00540ACA">
              <w:rPr>
                <w:b/>
                <w:color w:val="FFFFFF" w:themeColor="background1"/>
                <w:lang w:val="en-US"/>
              </w:rPr>
              <w:t>r</w:t>
            </w:r>
            <w:r w:rsidRPr="00540ACA">
              <w:rPr>
                <w:b/>
                <w:color w:val="FFFFFF" w:themeColor="background1"/>
                <w:lang w:val="en-US"/>
              </w:rPr>
              <w:t xml:space="preserve"> class of land</w:t>
            </w:r>
          </w:p>
        </w:tc>
        <w:tc>
          <w:tcPr>
            <w:tcW w:w="2548" w:type="dxa"/>
            <w:shd w:val="clear" w:color="auto" w:fill="1F497D" w:themeFill="text2"/>
          </w:tcPr>
          <w:p w:rsidR="00CA3F11" w:rsidRPr="00540ACA" w:rsidRDefault="00CA3F11" w:rsidP="00E7391F">
            <w:pPr>
              <w:jc w:val="center"/>
              <w:rPr>
                <w:b/>
                <w:color w:val="FFFFFF" w:themeColor="background1"/>
                <w:lang w:val="en-US"/>
              </w:rPr>
            </w:pPr>
            <w:r w:rsidRPr="00540ACA">
              <w:rPr>
                <w:b/>
                <w:color w:val="FFFFFF" w:themeColor="background1"/>
                <w:lang w:val="en-US"/>
              </w:rPr>
              <w:t>Number of Assessments</w:t>
            </w:r>
          </w:p>
        </w:tc>
        <w:tc>
          <w:tcPr>
            <w:tcW w:w="2268" w:type="dxa"/>
            <w:shd w:val="clear" w:color="auto" w:fill="1F497D" w:themeFill="text2"/>
          </w:tcPr>
          <w:p w:rsidR="00CA3F11" w:rsidRPr="00540ACA" w:rsidRDefault="00CA3F11" w:rsidP="00E7391F">
            <w:pPr>
              <w:jc w:val="center"/>
              <w:rPr>
                <w:b/>
                <w:color w:val="FFFFFF" w:themeColor="background1"/>
                <w:lang w:val="en-US"/>
              </w:rPr>
            </w:pPr>
            <w:r w:rsidRPr="00540ACA">
              <w:rPr>
                <w:b/>
                <w:color w:val="FFFFFF" w:themeColor="background1"/>
                <w:lang w:val="en-US"/>
              </w:rPr>
              <w:t xml:space="preserve">2017/2018 </w:t>
            </w:r>
            <w:r w:rsidR="00E7391F" w:rsidRPr="00540ACA">
              <w:rPr>
                <w:b/>
                <w:color w:val="FFFFFF" w:themeColor="background1"/>
                <w:lang w:val="en-US"/>
              </w:rPr>
              <w:t>rate in $</w:t>
            </w:r>
          </w:p>
        </w:tc>
        <w:tc>
          <w:tcPr>
            <w:tcW w:w="1927" w:type="dxa"/>
            <w:shd w:val="clear" w:color="auto" w:fill="1F497D" w:themeFill="text2"/>
          </w:tcPr>
          <w:p w:rsidR="00CA3F11" w:rsidRPr="00540ACA" w:rsidRDefault="00E7391F" w:rsidP="00E7391F">
            <w:pPr>
              <w:jc w:val="center"/>
              <w:rPr>
                <w:b/>
                <w:color w:val="FFFFFF" w:themeColor="background1"/>
                <w:lang w:val="en-US"/>
              </w:rPr>
            </w:pPr>
            <w:r w:rsidRPr="00540ACA">
              <w:rPr>
                <w:b/>
                <w:color w:val="FFFFFF" w:themeColor="background1"/>
                <w:lang w:val="en-US"/>
              </w:rPr>
              <w:t>Variance to general rate</w:t>
            </w:r>
          </w:p>
        </w:tc>
      </w:tr>
      <w:tr w:rsidR="00CA3F11" w:rsidTr="004D0908">
        <w:tc>
          <w:tcPr>
            <w:tcW w:w="3689" w:type="dxa"/>
          </w:tcPr>
          <w:p w:rsidR="00CA3F11" w:rsidRDefault="00E7391F" w:rsidP="00F2038B">
            <w:pPr>
              <w:rPr>
                <w:lang w:val="en-US"/>
              </w:rPr>
            </w:pPr>
            <w:r>
              <w:rPr>
                <w:lang w:val="en-US"/>
              </w:rPr>
              <w:t>General Rates</w:t>
            </w:r>
          </w:p>
        </w:tc>
        <w:tc>
          <w:tcPr>
            <w:tcW w:w="2548" w:type="dxa"/>
          </w:tcPr>
          <w:p w:rsidR="00CA3F11" w:rsidRDefault="00411962" w:rsidP="00E7391F">
            <w:pPr>
              <w:jc w:val="center"/>
              <w:rPr>
                <w:lang w:val="en-US"/>
              </w:rPr>
            </w:pPr>
            <w:r>
              <w:rPr>
                <w:lang w:val="en-US"/>
              </w:rPr>
              <w:t>45132</w:t>
            </w:r>
          </w:p>
        </w:tc>
        <w:tc>
          <w:tcPr>
            <w:tcW w:w="2268" w:type="dxa"/>
          </w:tcPr>
          <w:p w:rsidR="00CA3F11" w:rsidRDefault="001312AB" w:rsidP="00E7391F">
            <w:pPr>
              <w:jc w:val="center"/>
              <w:rPr>
                <w:lang w:val="en-US"/>
              </w:rPr>
            </w:pPr>
            <w:r>
              <w:rPr>
                <w:lang w:val="en-US"/>
              </w:rPr>
              <w:t>0</w:t>
            </w:r>
            <w:r w:rsidR="00E7391F">
              <w:rPr>
                <w:lang w:val="en-US"/>
              </w:rPr>
              <w:t>.</w:t>
            </w:r>
            <w:r>
              <w:rPr>
                <w:lang w:val="en-US"/>
              </w:rPr>
              <w:t>00</w:t>
            </w:r>
            <w:r w:rsidR="00E7391F">
              <w:rPr>
                <w:lang w:val="en-US"/>
              </w:rPr>
              <w:t>2253</w:t>
            </w:r>
          </w:p>
        </w:tc>
        <w:tc>
          <w:tcPr>
            <w:tcW w:w="1927" w:type="dxa"/>
          </w:tcPr>
          <w:p w:rsidR="00CA3F11" w:rsidRDefault="00CA3F11" w:rsidP="00E7391F">
            <w:pPr>
              <w:jc w:val="center"/>
              <w:rPr>
                <w:lang w:val="en-US"/>
              </w:rPr>
            </w:pPr>
          </w:p>
        </w:tc>
      </w:tr>
      <w:tr w:rsidR="00FE3A3C" w:rsidTr="004D0908">
        <w:tc>
          <w:tcPr>
            <w:tcW w:w="3689" w:type="dxa"/>
          </w:tcPr>
          <w:p w:rsidR="00FE3A3C" w:rsidRDefault="00FE3A3C" w:rsidP="00F2038B">
            <w:pPr>
              <w:rPr>
                <w:lang w:val="en-US"/>
              </w:rPr>
            </w:pPr>
            <w:r>
              <w:rPr>
                <w:lang w:val="en-US"/>
              </w:rPr>
              <w:t>Vacant Land</w:t>
            </w:r>
          </w:p>
        </w:tc>
        <w:tc>
          <w:tcPr>
            <w:tcW w:w="2548" w:type="dxa"/>
          </w:tcPr>
          <w:p w:rsidR="00FE3A3C" w:rsidRDefault="00FE3A3C" w:rsidP="00E7391F">
            <w:pPr>
              <w:jc w:val="center"/>
              <w:rPr>
                <w:lang w:val="en-US"/>
              </w:rPr>
            </w:pPr>
            <w:r>
              <w:rPr>
                <w:lang w:val="en-US"/>
              </w:rPr>
              <w:t>266</w:t>
            </w:r>
          </w:p>
        </w:tc>
        <w:tc>
          <w:tcPr>
            <w:tcW w:w="2268" w:type="dxa"/>
          </w:tcPr>
          <w:p w:rsidR="00FE3A3C" w:rsidRDefault="00FE3A3C" w:rsidP="00E7391F">
            <w:pPr>
              <w:jc w:val="center"/>
              <w:rPr>
                <w:lang w:val="en-US"/>
              </w:rPr>
            </w:pPr>
            <w:r>
              <w:rPr>
                <w:lang w:val="en-US"/>
              </w:rPr>
              <w:t>0.003380</w:t>
            </w:r>
          </w:p>
        </w:tc>
        <w:tc>
          <w:tcPr>
            <w:tcW w:w="1927" w:type="dxa"/>
          </w:tcPr>
          <w:p w:rsidR="00FE3A3C" w:rsidRDefault="00FE3A3C" w:rsidP="00E7391F">
            <w:pPr>
              <w:jc w:val="center"/>
              <w:rPr>
                <w:lang w:val="en-US"/>
              </w:rPr>
            </w:pPr>
            <w:r>
              <w:rPr>
                <w:lang w:val="en-US"/>
              </w:rPr>
              <w:t>50%</w:t>
            </w:r>
          </w:p>
        </w:tc>
      </w:tr>
      <w:tr w:rsidR="00FE3A3C" w:rsidTr="004D0908">
        <w:tc>
          <w:tcPr>
            <w:tcW w:w="3689" w:type="dxa"/>
          </w:tcPr>
          <w:p w:rsidR="00FE3A3C" w:rsidRDefault="00FE3A3C" w:rsidP="00F2038B">
            <w:pPr>
              <w:rPr>
                <w:lang w:val="en-US"/>
              </w:rPr>
            </w:pPr>
            <w:r>
              <w:rPr>
                <w:lang w:val="en-US"/>
              </w:rPr>
              <w:t>Cultural &amp; Recreational Land</w:t>
            </w:r>
          </w:p>
        </w:tc>
        <w:tc>
          <w:tcPr>
            <w:tcW w:w="2548" w:type="dxa"/>
          </w:tcPr>
          <w:p w:rsidR="00FE3A3C" w:rsidRDefault="00FE3A3C" w:rsidP="00E7391F">
            <w:pPr>
              <w:jc w:val="center"/>
              <w:rPr>
                <w:lang w:val="en-US"/>
              </w:rPr>
            </w:pPr>
            <w:r>
              <w:rPr>
                <w:lang w:val="en-US"/>
              </w:rPr>
              <w:t>3</w:t>
            </w:r>
          </w:p>
        </w:tc>
        <w:tc>
          <w:tcPr>
            <w:tcW w:w="2268" w:type="dxa"/>
          </w:tcPr>
          <w:p w:rsidR="00FE3A3C" w:rsidRDefault="00FE3A3C" w:rsidP="00E7391F">
            <w:pPr>
              <w:jc w:val="center"/>
              <w:rPr>
                <w:lang w:val="en-US"/>
              </w:rPr>
            </w:pPr>
            <w:r>
              <w:rPr>
                <w:lang w:val="en-US"/>
              </w:rPr>
              <w:t>0.001464</w:t>
            </w:r>
          </w:p>
        </w:tc>
        <w:tc>
          <w:tcPr>
            <w:tcW w:w="1927" w:type="dxa"/>
          </w:tcPr>
          <w:p w:rsidR="00FE3A3C" w:rsidRDefault="00FE3A3C" w:rsidP="00E7391F">
            <w:pPr>
              <w:jc w:val="center"/>
              <w:rPr>
                <w:lang w:val="en-US"/>
              </w:rPr>
            </w:pPr>
            <w:r>
              <w:rPr>
                <w:lang w:val="en-US"/>
              </w:rPr>
              <w:t>-35%</w:t>
            </w:r>
          </w:p>
        </w:tc>
      </w:tr>
    </w:tbl>
    <w:p w:rsidR="003659BB" w:rsidRDefault="00E7391F" w:rsidP="00E7391F">
      <w:pPr>
        <w:pStyle w:val="Heading2"/>
      </w:pPr>
      <w:bookmarkStart w:id="43" w:name="_Toc499624694"/>
      <w:r>
        <w:t>6.1 General Rates</w:t>
      </w:r>
      <w:r w:rsidR="00411962">
        <w:t xml:space="preserve"> (Residential)</w:t>
      </w:r>
      <w:bookmarkEnd w:id="43"/>
    </w:p>
    <w:p w:rsidR="008F62BD" w:rsidRDefault="008F62BD" w:rsidP="004D0908">
      <w:pPr>
        <w:jc w:val="both"/>
        <w:rPr>
          <w:lang w:val="en-US"/>
        </w:rPr>
      </w:pPr>
      <w:r>
        <w:rPr>
          <w:lang w:val="en-US"/>
        </w:rPr>
        <w:t>This category which has 45</w:t>
      </w:r>
      <w:r w:rsidR="00562C6C">
        <w:rPr>
          <w:lang w:val="en-US"/>
        </w:rPr>
        <w:t>,</w:t>
      </w:r>
      <w:r>
        <w:rPr>
          <w:lang w:val="en-US"/>
        </w:rPr>
        <w:t>132 assessments includes all residential properties.</w:t>
      </w:r>
      <w:r w:rsidR="008538B8">
        <w:rPr>
          <w:lang w:val="en-US"/>
        </w:rPr>
        <w:t xml:space="preserve"> </w:t>
      </w:r>
      <w:r w:rsidR="00A9584D">
        <w:rPr>
          <w:lang w:val="en-US"/>
        </w:rPr>
        <w:t xml:space="preserve"> </w:t>
      </w:r>
      <w:r w:rsidR="008538B8">
        <w:rPr>
          <w:lang w:val="en-US"/>
        </w:rPr>
        <w:t xml:space="preserve"> The residential properties represent 91% of the total assessments contributing </w:t>
      </w:r>
      <w:r w:rsidR="00B80A5D">
        <w:rPr>
          <w:lang w:val="en-US"/>
        </w:rPr>
        <w:t>86</w:t>
      </w:r>
      <w:r w:rsidR="008538B8" w:rsidRPr="00B80A5D">
        <w:rPr>
          <w:lang w:val="en-US"/>
        </w:rPr>
        <w:t>%</w:t>
      </w:r>
      <w:r w:rsidR="008538B8">
        <w:rPr>
          <w:lang w:val="en-US"/>
        </w:rPr>
        <w:t xml:space="preserve"> of the total rate raised.</w:t>
      </w:r>
    </w:p>
    <w:p w:rsidR="008F62BD" w:rsidRDefault="008F62BD" w:rsidP="004D0908">
      <w:pPr>
        <w:jc w:val="both"/>
        <w:rPr>
          <w:lang w:val="en-US"/>
        </w:rPr>
      </w:pPr>
    </w:p>
    <w:p w:rsidR="008F62BD" w:rsidRDefault="008F62BD" w:rsidP="004D0908">
      <w:pPr>
        <w:jc w:val="both"/>
        <w:rPr>
          <w:lang w:val="en-US"/>
        </w:rPr>
      </w:pPr>
      <w:r>
        <w:rPr>
          <w:lang w:val="en-US"/>
        </w:rPr>
        <w:t xml:space="preserve">This strategy recommends that </w:t>
      </w:r>
      <w:r w:rsidR="0019151A">
        <w:rPr>
          <w:lang w:val="en-US"/>
        </w:rPr>
        <w:t>Council</w:t>
      </w:r>
      <w:r>
        <w:rPr>
          <w:lang w:val="en-US"/>
        </w:rPr>
        <w:t xml:space="preserve"> continue applying the general rate </w:t>
      </w:r>
      <w:r w:rsidR="005C5BD3">
        <w:rPr>
          <w:lang w:val="en-US"/>
        </w:rPr>
        <w:t>for all residential properties.</w:t>
      </w:r>
    </w:p>
    <w:p w:rsidR="008F62BD" w:rsidRDefault="008F62BD" w:rsidP="008F62BD">
      <w:pPr>
        <w:pStyle w:val="Heading2"/>
      </w:pPr>
      <w:bookmarkStart w:id="44" w:name="_Toc499624695"/>
      <w:r>
        <w:t>6.2 Commercial Land</w:t>
      </w:r>
      <w:bookmarkEnd w:id="44"/>
    </w:p>
    <w:p w:rsidR="008F62BD" w:rsidRDefault="008F62BD" w:rsidP="004D0908">
      <w:pPr>
        <w:jc w:val="both"/>
        <w:rPr>
          <w:lang w:val="en-US"/>
        </w:rPr>
      </w:pPr>
      <w:r>
        <w:rPr>
          <w:lang w:val="en-US"/>
        </w:rPr>
        <w:t xml:space="preserve">Maroondah City </w:t>
      </w:r>
      <w:r w:rsidR="0019151A">
        <w:rPr>
          <w:lang w:val="en-US"/>
        </w:rPr>
        <w:t>Council</w:t>
      </w:r>
      <w:r>
        <w:rPr>
          <w:lang w:val="en-US"/>
        </w:rPr>
        <w:t xml:space="preserve"> has 2</w:t>
      </w:r>
      <w:r w:rsidR="000F64F9">
        <w:rPr>
          <w:lang w:val="en-US"/>
        </w:rPr>
        <w:t>,</w:t>
      </w:r>
      <w:r>
        <w:rPr>
          <w:lang w:val="en-US"/>
        </w:rPr>
        <w:t xml:space="preserve">194 commercial properties which constitute </w:t>
      </w:r>
      <w:r w:rsidR="00B80A5D">
        <w:rPr>
          <w:lang w:val="en-US"/>
        </w:rPr>
        <w:t>4.4</w:t>
      </w:r>
      <w:r w:rsidRPr="008F62BD">
        <w:rPr>
          <w:lang w:val="en-US"/>
        </w:rPr>
        <w:t>%</w:t>
      </w:r>
      <w:r>
        <w:rPr>
          <w:lang w:val="en-US"/>
        </w:rPr>
        <w:t xml:space="preserve"> of the total assessments, contributing </w:t>
      </w:r>
      <w:r w:rsidR="00B80A5D">
        <w:rPr>
          <w:lang w:val="en-US"/>
        </w:rPr>
        <w:t>8.62</w:t>
      </w:r>
      <w:r w:rsidRPr="00B80A5D">
        <w:rPr>
          <w:lang w:val="en-US"/>
        </w:rPr>
        <w:t>%</w:t>
      </w:r>
      <w:r>
        <w:rPr>
          <w:lang w:val="en-US"/>
        </w:rPr>
        <w:t xml:space="preserve"> of the total rate raised.</w:t>
      </w:r>
    </w:p>
    <w:p w:rsidR="008F62BD" w:rsidRDefault="008F62BD" w:rsidP="004D0908">
      <w:pPr>
        <w:jc w:val="both"/>
        <w:rPr>
          <w:lang w:val="en-US"/>
        </w:rPr>
      </w:pPr>
    </w:p>
    <w:p w:rsidR="008F62BD" w:rsidRDefault="008F62BD" w:rsidP="004D0908">
      <w:pPr>
        <w:jc w:val="both"/>
        <w:rPr>
          <w:lang w:val="en-US"/>
        </w:rPr>
      </w:pPr>
      <w:r>
        <w:rPr>
          <w:lang w:val="en-US"/>
        </w:rPr>
        <w:t xml:space="preserve">Commercial properties are defined as those selling a product or providing a service.  These properties are similar to industrial properties in respect that they are a business providing employment opportunities. </w:t>
      </w:r>
    </w:p>
    <w:p w:rsidR="008F62BD" w:rsidRDefault="008F62BD" w:rsidP="004D0908">
      <w:pPr>
        <w:jc w:val="both"/>
        <w:rPr>
          <w:lang w:val="en-US"/>
        </w:rPr>
      </w:pPr>
    </w:p>
    <w:p w:rsidR="000F64F9" w:rsidRDefault="008F62BD" w:rsidP="004D0908">
      <w:pPr>
        <w:jc w:val="both"/>
        <w:rPr>
          <w:lang w:val="en-US"/>
        </w:rPr>
      </w:pPr>
      <w:r>
        <w:rPr>
          <w:lang w:val="en-US"/>
        </w:rPr>
        <w:t>The commercial rate has been kept consistent with the general rates</w:t>
      </w:r>
      <w:r w:rsidR="00A9584D">
        <w:rPr>
          <w:lang w:val="en-US"/>
        </w:rPr>
        <w:t xml:space="preserve"> however,</w:t>
      </w:r>
      <w:r w:rsidR="000F64F9">
        <w:rPr>
          <w:lang w:val="en-US"/>
        </w:rPr>
        <w:t xml:space="preserve"> this does not reflect the current rates burden of commercial properties given the tax deductibility of rates for businesses and the extent of use of the infrastructure required for businesses, especially capital works p</w:t>
      </w:r>
      <w:r w:rsidR="003D5060">
        <w:rPr>
          <w:lang w:val="en-US"/>
        </w:rPr>
        <w:t>rograms, and business support.</w:t>
      </w:r>
    </w:p>
    <w:p w:rsidR="003D5060" w:rsidRDefault="003D5060" w:rsidP="004D0908">
      <w:pPr>
        <w:jc w:val="both"/>
        <w:rPr>
          <w:lang w:val="en-US"/>
        </w:rPr>
      </w:pPr>
    </w:p>
    <w:p w:rsidR="003D5060" w:rsidRPr="003D5060" w:rsidRDefault="003D5060" w:rsidP="004D0908">
      <w:pPr>
        <w:jc w:val="both"/>
        <w:rPr>
          <w:color w:val="000000" w:themeColor="text1"/>
          <w:lang w:val="en-US"/>
        </w:rPr>
      </w:pPr>
      <w:r w:rsidRPr="003D5060">
        <w:rPr>
          <w:color w:val="000000" w:themeColor="text1"/>
          <w:lang w:val="en-US"/>
        </w:rPr>
        <w:t xml:space="preserve">The application of a commercial differential rate further recognizes the tax deductibility of </w:t>
      </w:r>
      <w:r w:rsidR="0019151A">
        <w:rPr>
          <w:color w:val="000000" w:themeColor="text1"/>
          <w:lang w:val="en-US"/>
        </w:rPr>
        <w:t>Council</w:t>
      </w:r>
      <w:r w:rsidRPr="003D5060">
        <w:rPr>
          <w:color w:val="000000" w:themeColor="text1"/>
          <w:lang w:val="en-US"/>
        </w:rPr>
        <w:t xml:space="preserve"> rates for commercial properties which is not available to the residential sector and the income generating capability of commercial based properties.</w:t>
      </w:r>
    </w:p>
    <w:p w:rsidR="000F64F9" w:rsidRDefault="000F64F9" w:rsidP="004D0908">
      <w:pPr>
        <w:jc w:val="both"/>
        <w:rPr>
          <w:lang w:val="en-US"/>
        </w:rPr>
      </w:pPr>
    </w:p>
    <w:p w:rsidR="000F64F9" w:rsidRDefault="000F64F9" w:rsidP="004D0908">
      <w:pPr>
        <w:jc w:val="both"/>
        <w:rPr>
          <w:lang w:val="en-US"/>
        </w:rPr>
      </w:pPr>
      <w:r>
        <w:rPr>
          <w:lang w:val="en-US"/>
        </w:rPr>
        <w:t xml:space="preserve">This strategy recommends that a commercial rate </w:t>
      </w:r>
      <w:r w:rsidR="00562C6C">
        <w:rPr>
          <w:lang w:val="en-US"/>
        </w:rPr>
        <w:t xml:space="preserve">variation to the general rate </w:t>
      </w:r>
      <w:r>
        <w:rPr>
          <w:lang w:val="en-US"/>
        </w:rPr>
        <w:t xml:space="preserve">be put in place that best reflects the rate </w:t>
      </w:r>
      <w:r w:rsidR="00562C6C">
        <w:rPr>
          <w:lang w:val="en-US"/>
        </w:rPr>
        <w:t>distribution</w:t>
      </w:r>
      <w:r w:rsidR="005C5BD3">
        <w:rPr>
          <w:lang w:val="en-US"/>
        </w:rPr>
        <w:t xml:space="preserve"> of commercial properties.</w:t>
      </w:r>
    </w:p>
    <w:p w:rsidR="000F64F9" w:rsidRDefault="000F64F9" w:rsidP="000F64F9">
      <w:pPr>
        <w:pStyle w:val="Heading2"/>
      </w:pPr>
      <w:bookmarkStart w:id="45" w:name="_Toc499624696"/>
      <w:r w:rsidRPr="00C164DA">
        <w:t>6.3 Industr</w:t>
      </w:r>
      <w:r w:rsidR="00B80A5D" w:rsidRPr="00C164DA">
        <w:t>ial Land</w:t>
      </w:r>
      <w:bookmarkEnd w:id="45"/>
    </w:p>
    <w:p w:rsidR="008F62BD" w:rsidRDefault="0019151A" w:rsidP="004D0908">
      <w:pPr>
        <w:pStyle w:val="NoSpacing"/>
        <w:jc w:val="both"/>
        <w:rPr>
          <w:lang w:val="en-US"/>
        </w:rPr>
      </w:pPr>
      <w:r>
        <w:t>Council</w:t>
      </w:r>
      <w:r w:rsidR="000F64F9">
        <w:t xml:space="preserve"> has </w:t>
      </w:r>
      <w:r w:rsidR="000F64F9">
        <w:rPr>
          <w:lang w:val="en-US"/>
        </w:rPr>
        <w:t>1,961 industrial properties.</w:t>
      </w:r>
    </w:p>
    <w:p w:rsidR="000F64F9" w:rsidRDefault="000F64F9" w:rsidP="004D0908">
      <w:pPr>
        <w:pStyle w:val="NoSpacing"/>
        <w:jc w:val="both"/>
        <w:rPr>
          <w:lang w:val="en-US"/>
        </w:rPr>
      </w:pPr>
    </w:p>
    <w:p w:rsidR="000F64F9" w:rsidRDefault="000F64F9" w:rsidP="004D0908">
      <w:pPr>
        <w:pStyle w:val="NoSpacing"/>
        <w:jc w:val="both"/>
        <w:rPr>
          <w:lang w:val="en-US"/>
        </w:rPr>
      </w:pPr>
      <w:r>
        <w:rPr>
          <w:lang w:val="en-US"/>
        </w:rPr>
        <w:t xml:space="preserve">Industrial properties are those that are used for the purposes of manufacturing.  These properties which constitute </w:t>
      </w:r>
      <w:r w:rsidR="008538B8">
        <w:rPr>
          <w:lang w:val="en-US"/>
        </w:rPr>
        <w:t>3.9% of the total assessments, contribut</w:t>
      </w:r>
      <w:r w:rsidR="00562C6C">
        <w:rPr>
          <w:lang w:val="en-US"/>
        </w:rPr>
        <w:t>e</w:t>
      </w:r>
      <w:r w:rsidR="008538B8">
        <w:rPr>
          <w:lang w:val="en-US"/>
        </w:rPr>
        <w:t xml:space="preserve"> </w:t>
      </w:r>
      <w:r w:rsidR="00B80A5D">
        <w:rPr>
          <w:lang w:val="en-US"/>
        </w:rPr>
        <w:t>4.51</w:t>
      </w:r>
      <w:r w:rsidR="008538B8" w:rsidRPr="00B80A5D">
        <w:rPr>
          <w:lang w:val="en-US"/>
        </w:rPr>
        <w:t>%</w:t>
      </w:r>
      <w:r w:rsidR="008538B8">
        <w:rPr>
          <w:lang w:val="en-US"/>
        </w:rPr>
        <w:t xml:space="preserve"> of the total rates raised.</w:t>
      </w:r>
    </w:p>
    <w:p w:rsidR="00B80A5D" w:rsidRDefault="00B80A5D" w:rsidP="004D0908">
      <w:pPr>
        <w:pStyle w:val="NoSpacing"/>
        <w:jc w:val="both"/>
        <w:rPr>
          <w:lang w:val="en-US"/>
        </w:rPr>
      </w:pPr>
    </w:p>
    <w:p w:rsidR="00B80A5D" w:rsidRDefault="00B80A5D" w:rsidP="004D0908">
      <w:pPr>
        <w:pStyle w:val="NoSpacing"/>
        <w:jc w:val="both"/>
        <w:rPr>
          <w:lang w:val="en-US"/>
        </w:rPr>
      </w:pPr>
      <w:r>
        <w:rPr>
          <w:lang w:val="en-US"/>
        </w:rPr>
        <w:t>As with commercial land there is currently no difference in the rate in the dollar between the developed commercial and the developed industrial properties and residential land.</w:t>
      </w:r>
    </w:p>
    <w:p w:rsidR="00B80A5D" w:rsidRDefault="00B80A5D" w:rsidP="004D0908">
      <w:pPr>
        <w:pStyle w:val="NoSpacing"/>
        <w:jc w:val="both"/>
        <w:rPr>
          <w:lang w:val="en-US"/>
        </w:rPr>
      </w:pPr>
    </w:p>
    <w:p w:rsidR="003D5060" w:rsidRDefault="00B80A5D" w:rsidP="004D0908">
      <w:pPr>
        <w:pStyle w:val="NoSpacing"/>
        <w:jc w:val="both"/>
        <w:rPr>
          <w:lang w:val="en-US"/>
        </w:rPr>
      </w:pPr>
      <w:r>
        <w:rPr>
          <w:lang w:val="en-US"/>
        </w:rPr>
        <w:t xml:space="preserve">Typically, </w:t>
      </w:r>
      <w:r w:rsidR="001418F7">
        <w:rPr>
          <w:lang w:val="en-US"/>
        </w:rPr>
        <w:t>industrial</w:t>
      </w:r>
      <w:r>
        <w:rPr>
          <w:lang w:val="en-US"/>
        </w:rPr>
        <w:t xml:space="preserve"> entities vary more in size tha</w:t>
      </w:r>
      <w:r w:rsidR="000814C7">
        <w:rPr>
          <w:lang w:val="en-US"/>
        </w:rPr>
        <w:t>n</w:t>
      </w:r>
      <w:r>
        <w:rPr>
          <w:lang w:val="en-US"/>
        </w:rPr>
        <w:t xml:space="preserve"> </w:t>
      </w:r>
      <w:r w:rsidR="001418F7">
        <w:rPr>
          <w:lang w:val="en-US"/>
        </w:rPr>
        <w:t>commercial</w:t>
      </w:r>
      <w:r>
        <w:rPr>
          <w:lang w:val="en-US"/>
        </w:rPr>
        <w:t xml:space="preserve"> properties</w:t>
      </w:r>
      <w:r w:rsidR="000814C7">
        <w:rPr>
          <w:lang w:val="en-US"/>
        </w:rPr>
        <w:t xml:space="preserve"> and</w:t>
      </w:r>
      <w:r w:rsidR="001418F7">
        <w:rPr>
          <w:lang w:val="en-US"/>
        </w:rPr>
        <w:t xml:space="preserve"> it</w:t>
      </w:r>
      <w:r w:rsidR="001343FE">
        <w:rPr>
          <w:lang w:val="en-US"/>
        </w:rPr>
        <w:t xml:space="preserve"> must be acknowledged that </w:t>
      </w:r>
      <w:r w:rsidR="0019151A">
        <w:rPr>
          <w:lang w:val="en-US"/>
        </w:rPr>
        <w:t>Council</w:t>
      </w:r>
      <w:r w:rsidR="001343FE">
        <w:rPr>
          <w:lang w:val="en-US"/>
        </w:rPr>
        <w:t xml:space="preserve"> has invest</w:t>
      </w:r>
      <w:r w:rsidR="001418F7">
        <w:rPr>
          <w:lang w:val="en-US"/>
        </w:rPr>
        <w:t>ed</w:t>
      </w:r>
      <w:r w:rsidR="001343FE">
        <w:rPr>
          <w:lang w:val="en-US"/>
        </w:rPr>
        <w:t xml:space="preserve"> in the construction of </w:t>
      </w:r>
      <w:r w:rsidR="00562C6C">
        <w:rPr>
          <w:lang w:val="en-US"/>
        </w:rPr>
        <w:t xml:space="preserve">significant </w:t>
      </w:r>
      <w:r w:rsidR="001343FE">
        <w:rPr>
          <w:lang w:val="en-US"/>
        </w:rPr>
        <w:t xml:space="preserve">infrastructure for industrial development </w:t>
      </w:r>
      <w:r w:rsidR="003D5060">
        <w:rPr>
          <w:lang w:val="en-US"/>
        </w:rPr>
        <w:t xml:space="preserve">also. </w:t>
      </w:r>
    </w:p>
    <w:p w:rsidR="003D5060" w:rsidRPr="00444132" w:rsidRDefault="003D5060" w:rsidP="004D0908">
      <w:pPr>
        <w:pStyle w:val="NoSpacing"/>
        <w:jc w:val="both"/>
        <w:rPr>
          <w:lang w:val="en-US"/>
        </w:rPr>
      </w:pPr>
    </w:p>
    <w:p w:rsidR="003D5060" w:rsidRPr="007940C4" w:rsidRDefault="003D5060" w:rsidP="004D0908">
      <w:pPr>
        <w:pStyle w:val="NoSpacing"/>
        <w:jc w:val="both"/>
        <w:rPr>
          <w:lang w:val="en-US"/>
        </w:rPr>
      </w:pPr>
      <w:r w:rsidRPr="007940C4">
        <w:rPr>
          <w:lang w:val="en-US"/>
        </w:rPr>
        <w:t xml:space="preserve">The application of an industrial rate is to promote economic development objectives for the Maroondah Industrial Sector.  These objectives include ongoing, significant investment to improve the functionality and appearance of the area, together with general economic development promotion, facilitation, and advocacy.  The industrial businesses of Maroondah are expected to be beneficiaries of this ongoing significant investment by </w:t>
      </w:r>
      <w:r w:rsidR="0019151A">
        <w:rPr>
          <w:lang w:val="en-US"/>
        </w:rPr>
        <w:t>Council</w:t>
      </w:r>
      <w:r w:rsidRPr="007940C4">
        <w:rPr>
          <w:lang w:val="en-US"/>
        </w:rPr>
        <w:t>.</w:t>
      </w:r>
    </w:p>
    <w:p w:rsidR="001418F7" w:rsidRDefault="001418F7" w:rsidP="004D0908">
      <w:pPr>
        <w:pStyle w:val="NoSpacing"/>
        <w:jc w:val="both"/>
        <w:rPr>
          <w:lang w:val="en-US"/>
        </w:rPr>
      </w:pPr>
    </w:p>
    <w:p w:rsidR="00444132" w:rsidRDefault="001418F7" w:rsidP="00D157D7">
      <w:pPr>
        <w:pStyle w:val="NoSpacing"/>
        <w:jc w:val="both"/>
        <w:rPr>
          <w:lang w:val="en-US"/>
        </w:rPr>
      </w:pPr>
      <w:r>
        <w:rPr>
          <w:lang w:val="en-US"/>
        </w:rPr>
        <w:t xml:space="preserve">This strategy recommends that an industrial rate </w:t>
      </w:r>
      <w:r w:rsidR="00C164DA">
        <w:rPr>
          <w:lang w:val="en-US"/>
        </w:rPr>
        <w:t>variation to the general rate</w:t>
      </w:r>
      <w:r>
        <w:rPr>
          <w:lang w:val="en-US"/>
        </w:rPr>
        <w:t xml:space="preserve"> be put in place that best reflects the rate </w:t>
      </w:r>
      <w:r w:rsidR="00C164DA">
        <w:rPr>
          <w:lang w:val="en-US"/>
        </w:rPr>
        <w:t xml:space="preserve">distribution </w:t>
      </w:r>
      <w:r w:rsidR="005C5BD3">
        <w:rPr>
          <w:lang w:val="en-US"/>
        </w:rPr>
        <w:t>of the industrial properties.</w:t>
      </w:r>
    </w:p>
    <w:p w:rsidR="00444132" w:rsidRDefault="00444132" w:rsidP="00444132">
      <w:pPr>
        <w:pStyle w:val="Heading2"/>
      </w:pPr>
      <w:bookmarkStart w:id="46" w:name="_Toc499624697"/>
      <w:r>
        <w:t>6.4 Derelict Land</w:t>
      </w:r>
      <w:bookmarkEnd w:id="46"/>
    </w:p>
    <w:p w:rsidR="00FE3A3C" w:rsidRDefault="00C164DA" w:rsidP="004D0908">
      <w:pPr>
        <w:pStyle w:val="NoSpacing"/>
        <w:jc w:val="both"/>
        <w:rPr>
          <w:rStyle w:val="Heading2Char"/>
          <w:rFonts w:eastAsiaTheme="minorHAnsi" w:cstheme="minorBidi"/>
          <w:b w:val="0"/>
          <w:bCs w:val="0"/>
          <w:color w:val="auto"/>
          <w:sz w:val="22"/>
          <w:szCs w:val="22"/>
          <w:lang w:val="en-AU"/>
        </w:rPr>
      </w:pPr>
      <w:r>
        <w:t xml:space="preserve">As </w:t>
      </w:r>
      <w:r w:rsidR="0019151A">
        <w:t>Council</w:t>
      </w:r>
      <w:r>
        <w:t xml:space="preserve"> continues to</w:t>
      </w:r>
      <w:r w:rsidR="00444132">
        <w:t xml:space="preserve"> </w:t>
      </w:r>
      <w:r w:rsidR="00FE3A3C" w:rsidRPr="00444132">
        <w:rPr>
          <w:rStyle w:val="Heading2Char"/>
          <w:rFonts w:eastAsiaTheme="minorHAnsi" w:cstheme="minorBidi"/>
          <w:b w:val="0"/>
          <w:bCs w:val="0"/>
          <w:color w:val="auto"/>
          <w:sz w:val="22"/>
          <w:szCs w:val="22"/>
          <w:lang w:val="en-AU"/>
        </w:rPr>
        <w:t>im</w:t>
      </w:r>
      <w:r w:rsidR="003D5060" w:rsidRPr="00444132">
        <w:rPr>
          <w:rStyle w:val="Heading2Char"/>
          <w:rFonts w:eastAsiaTheme="minorHAnsi" w:cstheme="minorBidi"/>
          <w:b w:val="0"/>
          <w:bCs w:val="0"/>
          <w:color w:val="auto"/>
          <w:sz w:val="22"/>
          <w:szCs w:val="22"/>
          <w:lang w:val="en-AU"/>
        </w:rPr>
        <w:t xml:space="preserve">prove </w:t>
      </w:r>
      <w:r>
        <w:rPr>
          <w:rStyle w:val="Heading2Char"/>
          <w:rFonts w:eastAsiaTheme="minorHAnsi" w:cstheme="minorBidi"/>
          <w:b w:val="0"/>
          <w:bCs w:val="0"/>
          <w:color w:val="auto"/>
          <w:sz w:val="22"/>
          <w:szCs w:val="22"/>
          <w:lang w:val="en-AU"/>
        </w:rPr>
        <w:t xml:space="preserve">the </w:t>
      </w:r>
      <w:r w:rsidR="003D5060" w:rsidRPr="00444132">
        <w:rPr>
          <w:rStyle w:val="Heading2Char"/>
          <w:rFonts w:eastAsiaTheme="minorHAnsi" w:cstheme="minorBidi"/>
          <w:b w:val="0"/>
          <w:bCs w:val="0"/>
          <w:color w:val="auto"/>
          <w:sz w:val="22"/>
          <w:szCs w:val="22"/>
          <w:lang w:val="en-AU"/>
        </w:rPr>
        <w:t xml:space="preserve">municipal </w:t>
      </w:r>
      <w:r w:rsidR="00FE3A3C" w:rsidRPr="00444132">
        <w:rPr>
          <w:rStyle w:val="Heading2Char"/>
          <w:rFonts w:eastAsiaTheme="minorHAnsi" w:cstheme="minorBidi"/>
          <w:b w:val="0"/>
          <w:bCs w:val="0"/>
          <w:color w:val="auto"/>
          <w:sz w:val="22"/>
          <w:szCs w:val="22"/>
          <w:lang w:val="en-AU"/>
        </w:rPr>
        <w:t>streetscape</w:t>
      </w:r>
      <w:r>
        <w:rPr>
          <w:rStyle w:val="Heading2Char"/>
          <w:rFonts w:eastAsiaTheme="minorHAnsi" w:cstheme="minorBidi"/>
          <w:b w:val="0"/>
          <w:bCs w:val="0"/>
          <w:color w:val="auto"/>
          <w:sz w:val="22"/>
          <w:szCs w:val="22"/>
          <w:lang w:val="en-AU"/>
        </w:rPr>
        <w:t xml:space="preserve">s, this can only </w:t>
      </w:r>
      <w:r w:rsidR="00FE3A3C" w:rsidRPr="00444132">
        <w:rPr>
          <w:rStyle w:val="Heading2Char"/>
          <w:rFonts w:eastAsiaTheme="minorHAnsi" w:cstheme="minorBidi"/>
          <w:b w:val="0"/>
          <w:bCs w:val="0"/>
          <w:color w:val="auto"/>
          <w:sz w:val="22"/>
          <w:szCs w:val="22"/>
          <w:lang w:val="en-AU"/>
        </w:rPr>
        <w:t>be achieved if property owners have a strong incentive to maintain the appearance of their property.</w:t>
      </w:r>
    </w:p>
    <w:p w:rsidR="00A94B6D" w:rsidRPr="00A94B6D" w:rsidRDefault="00A94B6D" w:rsidP="004D0908">
      <w:pPr>
        <w:pStyle w:val="NoSpacing"/>
        <w:jc w:val="both"/>
      </w:pPr>
    </w:p>
    <w:p w:rsidR="00FE3A3C" w:rsidRPr="00A94B6D" w:rsidRDefault="00FE3A3C" w:rsidP="004D0908">
      <w:pPr>
        <w:pStyle w:val="NoSpacing"/>
        <w:jc w:val="both"/>
      </w:pPr>
      <w:r w:rsidRPr="00A94B6D">
        <w:t xml:space="preserve">For the purposes of applying </w:t>
      </w:r>
      <w:r w:rsidR="00314735" w:rsidRPr="00A94B6D">
        <w:t>a</w:t>
      </w:r>
      <w:r w:rsidRPr="00A94B6D">
        <w:t xml:space="preserve"> differential rate</w:t>
      </w:r>
      <w:r w:rsidR="00314735" w:rsidRPr="00A94B6D">
        <w:t xml:space="preserve"> on derelict land</w:t>
      </w:r>
      <w:r w:rsidRPr="00A94B6D">
        <w:t>, properties will be considered derelict if they meet one or more of the following criteria:</w:t>
      </w:r>
    </w:p>
    <w:p w:rsidR="00FE3A3C" w:rsidRPr="00A94B6D" w:rsidRDefault="00FE3A3C" w:rsidP="00444132">
      <w:pPr>
        <w:pStyle w:val="NoSpacing"/>
      </w:pPr>
    </w:p>
    <w:p w:rsidR="00364F44" w:rsidRPr="00A94B6D" w:rsidRDefault="002F3366" w:rsidP="00F96372">
      <w:pPr>
        <w:pStyle w:val="NoSpacing"/>
        <w:numPr>
          <w:ilvl w:val="0"/>
          <w:numId w:val="8"/>
        </w:numPr>
        <w:jc w:val="both"/>
      </w:pPr>
      <w:r w:rsidRPr="00A94B6D">
        <w:t>The building or land is destroyed, decayed, deteriorated, or fallen into partial ruin especially through neglect or misuse.  This may include but not be limited</w:t>
      </w:r>
      <w:r w:rsidR="00105BF1" w:rsidRPr="00A94B6D">
        <w:t xml:space="preserve"> to excessive dirt; peeling paint; broken windows; elements of the façade or advertising signs; loose or broken fittings and fixtures; or faulty lighting.</w:t>
      </w:r>
    </w:p>
    <w:p w:rsidR="00444132" w:rsidRPr="00511B3F" w:rsidRDefault="00105BF1" w:rsidP="00F96372">
      <w:pPr>
        <w:pStyle w:val="NoSpacing"/>
        <w:numPr>
          <w:ilvl w:val="0"/>
          <w:numId w:val="8"/>
        </w:numPr>
        <w:jc w:val="both"/>
      </w:pPr>
      <w:r w:rsidRPr="00A94B6D">
        <w:t>The</w:t>
      </w:r>
      <w:r w:rsidRPr="00511B3F">
        <w:t xml:space="preserve"> building or land constitutes a danger to health or property.  This may include but not limited to:</w:t>
      </w:r>
    </w:p>
    <w:p w:rsidR="00364F44" w:rsidRPr="00511B3F" w:rsidRDefault="00105BF1" w:rsidP="00F96372">
      <w:pPr>
        <w:pStyle w:val="NoSpacing"/>
        <w:numPr>
          <w:ilvl w:val="1"/>
          <w:numId w:val="8"/>
        </w:numPr>
      </w:pPr>
      <w:r w:rsidRPr="00511B3F">
        <w:t xml:space="preserve">The existence on the property of vermin, litter, </w:t>
      </w:r>
      <w:r w:rsidR="00C30825" w:rsidRPr="00511B3F">
        <w:t>fire,</w:t>
      </w:r>
      <w:r w:rsidRPr="00511B3F">
        <w:t xml:space="preserve"> or other environmental hazards</w:t>
      </w:r>
    </w:p>
    <w:p w:rsidR="00A94B6D" w:rsidRPr="004909FB" w:rsidRDefault="00105BF1" w:rsidP="00F96372">
      <w:pPr>
        <w:pStyle w:val="NoSpacing"/>
        <w:numPr>
          <w:ilvl w:val="1"/>
          <w:numId w:val="8"/>
        </w:numPr>
      </w:pPr>
      <w:r w:rsidRPr="00511B3F">
        <w:t>A partially built structure where there is no reasonable progress of the building permi</w:t>
      </w:r>
      <w:r w:rsidR="00A94B6D" w:rsidRPr="00511B3F">
        <w:t>t</w:t>
      </w:r>
    </w:p>
    <w:p w:rsidR="00444132" w:rsidRPr="00A94B6D" w:rsidRDefault="00105BF1" w:rsidP="00F96372">
      <w:pPr>
        <w:pStyle w:val="NoSpacing"/>
        <w:numPr>
          <w:ilvl w:val="0"/>
          <w:numId w:val="9"/>
        </w:numPr>
        <w:jc w:val="both"/>
      </w:pPr>
      <w:r w:rsidRPr="00A94B6D">
        <w:t>Provides an opportunity to be used in a manner that may cause a nuisance or become detrimental to the amenity of immediate area</w:t>
      </w:r>
    </w:p>
    <w:p w:rsidR="00444132" w:rsidRPr="00A94B6D" w:rsidRDefault="00364F44" w:rsidP="00F96372">
      <w:pPr>
        <w:pStyle w:val="NoSpacing"/>
        <w:numPr>
          <w:ilvl w:val="0"/>
          <w:numId w:val="9"/>
        </w:numPr>
        <w:jc w:val="both"/>
      </w:pPr>
      <w:r w:rsidRPr="00A94B6D">
        <w:t>Is in such a state of repair tha</w:t>
      </w:r>
      <w:r w:rsidR="007E5EE9" w:rsidRPr="00A94B6D">
        <w:t>t would prohibit its occupation</w:t>
      </w:r>
    </w:p>
    <w:p w:rsidR="00444132" w:rsidRPr="00A94B6D" w:rsidRDefault="00364F44" w:rsidP="00F96372">
      <w:pPr>
        <w:pStyle w:val="NoSpacing"/>
        <w:numPr>
          <w:ilvl w:val="0"/>
          <w:numId w:val="9"/>
        </w:numPr>
        <w:jc w:val="both"/>
      </w:pPr>
      <w:r w:rsidRPr="00A94B6D">
        <w:t>The condition of the property or land has a potential to affect the value of the other l</w:t>
      </w:r>
      <w:r w:rsidR="007E5EE9" w:rsidRPr="00A94B6D">
        <w:t>and or property in the vicinity</w:t>
      </w:r>
    </w:p>
    <w:p w:rsidR="00444132" w:rsidRPr="00A94B6D" w:rsidRDefault="00364F44" w:rsidP="00F96372">
      <w:pPr>
        <w:pStyle w:val="NoSpacing"/>
        <w:numPr>
          <w:ilvl w:val="0"/>
          <w:numId w:val="9"/>
        </w:numPr>
        <w:jc w:val="both"/>
      </w:pPr>
      <w:r w:rsidRPr="00A94B6D">
        <w:t xml:space="preserve">There is excessive growth of grass and </w:t>
      </w:r>
      <w:r w:rsidR="007E5EE9" w:rsidRPr="00A94B6D">
        <w:t>or noxious weeds or undergrowth</w:t>
      </w:r>
      <w:r w:rsidR="004D0908">
        <w:t>.</w:t>
      </w:r>
    </w:p>
    <w:p w:rsidR="00364F44" w:rsidRPr="00A94B6D" w:rsidRDefault="00364F44" w:rsidP="00F96372">
      <w:pPr>
        <w:pStyle w:val="NoSpacing"/>
        <w:numPr>
          <w:ilvl w:val="0"/>
          <w:numId w:val="9"/>
        </w:numPr>
      </w:pPr>
      <w:r w:rsidRPr="00A94B6D">
        <w:t xml:space="preserve">Affects the general </w:t>
      </w:r>
      <w:r w:rsidR="00C30825" w:rsidRPr="00A94B6D">
        <w:t>amenity</w:t>
      </w:r>
      <w:r w:rsidRPr="00A94B6D">
        <w:t xml:space="preserve"> of adjoining land or neighbourhood by the appearance of graffiti, any stored unregistered motor vehicles, </w:t>
      </w:r>
      <w:r w:rsidR="00C30825" w:rsidRPr="00A94B6D">
        <w:t>machinery</w:t>
      </w:r>
      <w:r w:rsidRPr="00A94B6D">
        <w:t xml:space="preserve"> (or part</w:t>
      </w:r>
      <w:r w:rsidR="007E5EE9" w:rsidRPr="00A94B6D">
        <w:t>s thereof), scrap metal, second hand timber and or building materials, waste paper, rags, bottles, soil, or similar materials.</w:t>
      </w:r>
      <w:r w:rsidR="007E5EE9" w:rsidRPr="00A94B6D">
        <w:br/>
      </w:r>
    </w:p>
    <w:p w:rsidR="007E5EE9" w:rsidRPr="00A94B6D" w:rsidRDefault="007E5EE9" w:rsidP="004D0908">
      <w:pPr>
        <w:pStyle w:val="NoSpacing"/>
        <w:jc w:val="both"/>
      </w:pPr>
      <w:r w:rsidRPr="00A94B6D">
        <w:t xml:space="preserve">The assessment of these properties will be completed by </w:t>
      </w:r>
      <w:r w:rsidR="0019151A">
        <w:t>Council</w:t>
      </w:r>
      <w:r w:rsidRPr="00A94B6D">
        <w:t>’s officers authorised under the Section 224 of the Local Government Act 1989.</w:t>
      </w:r>
    </w:p>
    <w:p w:rsidR="007E5EE9" w:rsidRPr="00A94B6D" w:rsidRDefault="007E5EE9" w:rsidP="00444132">
      <w:pPr>
        <w:pStyle w:val="NoSpacing"/>
      </w:pPr>
    </w:p>
    <w:p w:rsidR="001C06CE" w:rsidRPr="00A94B6D" w:rsidRDefault="007E5EE9" w:rsidP="004D0908">
      <w:pPr>
        <w:pStyle w:val="NoSpacing"/>
        <w:jc w:val="both"/>
      </w:pPr>
      <w:r w:rsidRPr="00444132">
        <w:t xml:space="preserve">This strategy recommends that a derelict land rate </w:t>
      </w:r>
      <w:r w:rsidR="000814C7">
        <w:t>variation to the general rate</w:t>
      </w:r>
      <w:r w:rsidRPr="00444132">
        <w:t xml:space="preserve"> be put in place that best provides the incentive for property owners to maintain the appearance of their property.</w:t>
      </w:r>
    </w:p>
    <w:p w:rsidR="007E5EE9" w:rsidRDefault="007E5EE9" w:rsidP="007E5EE9">
      <w:pPr>
        <w:pStyle w:val="Heading2"/>
      </w:pPr>
      <w:bookmarkStart w:id="47" w:name="_Toc499624698"/>
      <w:r>
        <w:t>6.5 Other</w:t>
      </w:r>
      <w:bookmarkEnd w:id="47"/>
    </w:p>
    <w:p w:rsidR="00435D91" w:rsidRPr="007E5EE9" w:rsidRDefault="00435D91" w:rsidP="00435D91">
      <w:pPr>
        <w:pStyle w:val="Heading2"/>
      </w:pPr>
      <w:bookmarkStart w:id="48" w:name="_Toc499624699"/>
      <w:r w:rsidRPr="007E5EE9">
        <w:rPr>
          <w:i/>
        </w:rPr>
        <w:t>Cultural and Recreational Lands</w:t>
      </w:r>
      <w:bookmarkEnd w:id="48"/>
    </w:p>
    <w:p w:rsidR="00435D91" w:rsidRDefault="00435D91" w:rsidP="004D0908">
      <w:pPr>
        <w:jc w:val="both"/>
        <w:rPr>
          <w:lang w:val="en-US"/>
        </w:rPr>
      </w:pPr>
      <w:r w:rsidRPr="00435D91">
        <w:rPr>
          <w:lang w:val="en-US"/>
        </w:rPr>
        <w:t xml:space="preserve">Maroondah City </w:t>
      </w:r>
      <w:r w:rsidR="0019151A">
        <w:rPr>
          <w:lang w:val="en-US"/>
        </w:rPr>
        <w:t>Council</w:t>
      </w:r>
      <w:r w:rsidRPr="00435D91">
        <w:rPr>
          <w:lang w:val="en-US"/>
        </w:rPr>
        <w:t xml:space="preserve"> has three properties that are classified as cultural and recreational land assessments.  </w:t>
      </w:r>
      <w:r w:rsidR="0019151A">
        <w:rPr>
          <w:lang w:val="en-US"/>
        </w:rPr>
        <w:t>Council</w:t>
      </w:r>
      <w:r w:rsidRPr="00435D91">
        <w:rPr>
          <w:lang w:val="en-US"/>
        </w:rPr>
        <w:t xml:space="preserve"> is required to consider a rating discount for these properties under the Cultural and Recreational Lands Act based on considered benefits to the community and the</w:t>
      </w:r>
      <w:r>
        <w:rPr>
          <w:lang w:val="en-US"/>
        </w:rPr>
        <w:t xml:space="preserve"> services provided by </w:t>
      </w:r>
      <w:r w:rsidR="0019151A">
        <w:rPr>
          <w:lang w:val="en-US"/>
        </w:rPr>
        <w:t>Council</w:t>
      </w:r>
      <w:r>
        <w:rPr>
          <w:lang w:val="en-US"/>
        </w:rPr>
        <w:t>.  These properties are reviewed every two years in line with general revaluations.</w:t>
      </w:r>
    </w:p>
    <w:p w:rsidR="00435D91" w:rsidRDefault="00435D91" w:rsidP="004D0908">
      <w:pPr>
        <w:jc w:val="both"/>
        <w:rPr>
          <w:lang w:val="en-US"/>
        </w:rPr>
      </w:pPr>
      <w:r>
        <w:rPr>
          <w:lang w:val="en-US"/>
        </w:rPr>
        <w:t xml:space="preserve"> </w:t>
      </w:r>
    </w:p>
    <w:p w:rsidR="001C06CE" w:rsidRDefault="00435D91" w:rsidP="004D0908">
      <w:pPr>
        <w:pStyle w:val="NoSpacing"/>
        <w:jc w:val="both"/>
        <w:rPr>
          <w:lang w:val="en-US"/>
        </w:rPr>
      </w:pPr>
      <w:r>
        <w:rPr>
          <w:lang w:val="en-US"/>
        </w:rPr>
        <w:t xml:space="preserve">It is recommended that </w:t>
      </w:r>
      <w:r w:rsidR="0019151A">
        <w:rPr>
          <w:lang w:val="en-US"/>
        </w:rPr>
        <w:t>Council</w:t>
      </w:r>
      <w:r>
        <w:rPr>
          <w:lang w:val="en-US"/>
        </w:rPr>
        <w:t xml:space="preserve"> continue to allow a discount to Cultural and Recreational properties subject to an ongoing review every two years</w:t>
      </w:r>
    </w:p>
    <w:p w:rsidR="001C06CE" w:rsidRDefault="001C06CE" w:rsidP="001C06CE">
      <w:pPr>
        <w:pStyle w:val="Heading2"/>
        <w:rPr>
          <w:i/>
        </w:rPr>
      </w:pPr>
      <w:bookmarkStart w:id="49" w:name="_Toc499624700"/>
      <w:r w:rsidRPr="007E5EE9">
        <w:rPr>
          <w:i/>
        </w:rPr>
        <w:t>Retirement Villages</w:t>
      </w:r>
      <w:bookmarkEnd w:id="49"/>
    </w:p>
    <w:p w:rsidR="001C06CE" w:rsidRDefault="001C06CE" w:rsidP="004D0908">
      <w:pPr>
        <w:jc w:val="both"/>
        <w:rPr>
          <w:lang w:val="en-US"/>
        </w:rPr>
      </w:pPr>
      <w:r>
        <w:rPr>
          <w:lang w:val="en-US"/>
        </w:rPr>
        <w:t xml:space="preserve">Under the Ministerial Guidelines for differential rating, </w:t>
      </w:r>
      <w:r w:rsidR="0019151A">
        <w:rPr>
          <w:lang w:val="en-US"/>
        </w:rPr>
        <w:t>Council</w:t>
      </w:r>
      <w:r>
        <w:rPr>
          <w:lang w:val="en-US"/>
        </w:rPr>
        <w:t xml:space="preserve"> is required to consider a differentia</w:t>
      </w:r>
      <w:r w:rsidR="008B02A1">
        <w:rPr>
          <w:lang w:val="en-US"/>
        </w:rPr>
        <w:t xml:space="preserve">l rate for retirement villages.  Approximately 5 out of the 79 Victorian </w:t>
      </w:r>
      <w:r w:rsidR="0019151A">
        <w:rPr>
          <w:lang w:val="en-US"/>
        </w:rPr>
        <w:t>Council</w:t>
      </w:r>
      <w:r w:rsidR="008B02A1">
        <w:rPr>
          <w:lang w:val="en-US"/>
        </w:rPr>
        <w:t>s are currently providing a discount ranging from 5% to 25% to Retirement Villages.</w:t>
      </w:r>
    </w:p>
    <w:p w:rsidR="008B02A1" w:rsidRDefault="008B02A1" w:rsidP="004D0908">
      <w:pPr>
        <w:jc w:val="both"/>
        <w:rPr>
          <w:lang w:val="en-US"/>
        </w:rPr>
      </w:pPr>
    </w:p>
    <w:p w:rsidR="008B02A1" w:rsidRDefault="008B02A1" w:rsidP="004D0908">
      <w:pPr>
        <w:jc w:val="both"/>
        <w:rPr>
          <w:lang w:val="en-US"/>
        </w:rPr>
      </w:pPr>
      <w:r>
        <w:rPr>
          <w:lang w:val="en-US"/>
        </w:rPr>
        <w:t xml:space="preserve">The arguments in </w:t>
      </w:r>
      <w:r w:rsidRPr="00D157D7">
        <w:t>favour</w:t>
      </w:r>
      <w:r>
        <w:rPr>
          <w:lang w:val="en-US"/>
        </w:rPr>
        <w:t xml:space="preserve"> of providing a discounted rate are</w:t>
      </w:r>
      <w:r w:rsidR="00D157D7">
        <w:rPr>
          <w:lang w:val="en-US"/>
        </w:rPr>
        <w:t>:</w:t>
      </w:r>
    </w:p>
    <w:p w:rsidR="008B02A1" w:rsidRPr="00502F86" w:rsidRDefault="008B02A1" w:rsidP="00502F86">
      <w:pPr>
        <w:pStyle w:val="ListParagraph"/>
        <w:numPr>
          <w:ilvl w:val="0"/>
          <w:numId w:val="28"/>
        </w:numPr>
        <w:jc w:val="both"/>
        <w:rPr>
          <w:lang w:val="en-US"/>
        </w:rPr>
      </w:pPr>
      <w:r w:rsidRPr="00502F86">
        <w:rPr>
          <w:lang w:val="en-US"/>
        </w:rPr>
        <w:t>Based on the equity argument that retirements villages have funded the provision of their own infrastructure within their gated community and continue to pay for the ongoing maintenance of these assets including roads, footpaths, lighting etc.</w:t>
      </w:r>
    </w:p>
    <w:p w:rsidR="008B02A1" w:rsidRPr="00502F86" w:rsidRDefault="008B02A1" w:rsidP="00502F86">
      <w:pPr>
        <w:pStyle w:val="ListParagraph"/>
        <w:numPr>
          <w:ilvl w:val="0"/>
          <w:numId w:val="28"/>
        </w:numPr>
        <w:jc w:val="both"/>
        <w:rPr>
          <w:lang w:val="en-US"/>
        </w:rPr>
      </w:pPr>
      <w:r w:rsidRPr="00502F86">
        <w:rPr>
          <w:lang w:val="en-US"/>
        </w:rPr>
        <w:t>The social benefit factor provided by retirement villages in providing a facility that allows elderly residents to age in their residence in a supported environment and one which provides social and recreational activities that enhance lifestyles.</w:t>
      </w:r>
    </w:p>
    <w:p w:rsidR="008B02A1" w:rsidRPr="00502F86" w:rsidRDefault="0019151A" w:rsidP="00502F86">
      <w:pPr>
        <w:pStyle w:val="ListParagraph"/>
        <w:numPr>
          <w:ilvl w:val="0"/>
          <w:numId w:val="28"/>
        </w:numPr>
        <w:jc w:val="both"/>
        <w:rPr>
          <w:lang w:val="en-US"/>
        </w:rPr>
      </w:pPr>
      <w:r>
        <w:rPr>
          <w:lang w:val="en-US"/>
        </w:rPr>
        <w:t>Council</w:t>
      </w:r>
      <w:r w:rsidR="008B02A1" w:rsidRPr="00502F86">
        <w:rPr>
          <w:lang w:val="en-US"/>
        </w:rPr>
        <w:t xml:space="preserve"> already benefits in a rating sense due to the density of the residential development which is frequently much higher than a residential street.</w:t>
      </w:r>
    </w:p>
    <w:p w:rsidR="008B02A1" w:rsidRDefault="008B02A1" w:rsidP="004D0908">
      <w:pPr>
        <w:jc w:val="both"/>
        <w:rPr>
          <w:lang w:val="en-US"/>
        </w:rPr>
      </w:pPr>
    </w:p>
    <w:p w:rsidR="00502F86" w:rsidRDefault="008B02A1" w:rsidP="004D0908">
      <w:pPr>
        <w:jc w:val="both"/>
        <w:rPr>
          <w:lang w:val="en-US"/>
        </w:rPr>
      </w:pPr>
      <w:r>
        <w:rPr>
          <w:lang w:val="en-US"/>
        </w:rPr>
        <w:t>The arguments agains</w:t>
      </w:r>
      <w:r w:rsidR="00502F86">
        <w:rPr>
          <w:lang w:val="en-US"/>
        </w:rPr>
        <w:t>t</w:t>
      </w:r>
      <w:r>
        <w:rPr>
          <w:lang w:val="en-US"/>
        </w:rPr>
        <w:t xml:space="preserve"> providing a differential to Retirement Villages are</w:t>
      </w:r>
      <w:r w:rsidR="00D157D7">
        <w:rPr>
          <w:lang w:val="en-US"/>
        </w:rPr>
        <w:t>:</w:t>
      </w:r>
    </w:p>
    <w:p w:rsidR="008B02A1" w:rsidRPr="00502F86" w:rsidRDefault="00502F86" w:rsidP="00502F86">
      <w:pPr>
        <w:pStyle w:val="ListParagraph"/>
        <w:numPr>
          <w:ilvl w:val="0"/>
          <w:numId w:val="29"/>
        </w:numPr>
        <w:jc w:val="both"/>
        <w:rPr>
          <w:lang w:val="en-US"/>
        </w:rPr>
      </w:pPr>
      <w:r>
        <w:rPr>
          <w:lang w:val="en-US"/>
        </w:rPr>
        <w:t>T</w:t>
      </w:r>
      <w:r w:rsidR="008B02A1" w:rsidRPr="00502F86">
        <w:rPr>
          <w:lang w:val="en-US"/>
        </w:rPr>
        <w:t xml:space="preserve">hat </w:t>
      </w:r>
      <w:r w:rsidR="0019151A">
        <w:rPr>
          <w:lang w:val="en-US"/>
        </w:rPr>
        <w:t>Council</w:t>
      </w:r>
      <w:r w:rsidR="008B02A1" w:rsidRPr="00502F86">
        <w:rPr>
          <w:lang w:val="en-US"/>
        </w:rPr>
        <w:t xml:space="preserve"> rates are not based on the benefit taxation principle and are not a fee for service.  </w:t>
      </w:r>
      <w:r w:rsidRPr="00502F86">
        <w:rPr>
          <w:lang w:val="en-US"/>
        </w:rPr>
        <w:t xml:space="preserve">Rates </w:t>
      </w:r>
      <w:r w:rsidR="008B02A1" w:rsidRPr="00502F86">
        <w:rPr>
          <w:lang w:val="en-US"/>
        </w:rPr>
        <w:t xml:space="preserve">are instead a taxation based on the valuation of the assessment.  </w:t>
      </w:r>
      <w:r w:rsidRPr="00502F86">
        <w:rPr>
          <w:lang w:val="en-US"/>
        </w:rPr>
        <w:t xml:space="preserve">All </w:t>
      </w:r>
      <w:r w:rsidR="008B02A1" w:rsidRPr="00502F86">
        <w:rPr>
          <w:lang w:val="en-US"/>
        </w:rPr>
        <w:t xml:space="preserve">residents </w:t>
      </w:r>
      <w:r w:rsidRPr="00502F86">
        <w:rPr>
          <w:lang w:val="en-US"/>
        </w:rPr>
        <w:t xml:space="preserve">could </w:t>
      </w:r>
      <w:r w:rsidR="008B02A1" w:rsidRPr="00502F86">
        <w:rPr>
          <w:lang w:val="en-US"/>
        </w:rPr>
        <w:t xml:space="preserve">make a strong case that they do not use an equivalent amount of </w:t>
      </w:r>
      <w:r w:rsidR="0019151A">
        <w:rPr>
          <w:lang w:val="en-US"/>
        </w:rPr>
        <w:t>Council</w:t>
      </w:r>
      <w:r w:rsidR="008B02A1" w:rsidRPr="00502F86">
        <w:rPr>
          <w:lang w:val="en-US"/>
        </w:rPr>
        <w:t xml:space="preserve"> services compared to the </w:t>
      </w:r>
      <w:r w:rsidR="0019151A">
        <w:rPr>
          <w:lang w:val="en-US"/>
        </w:rPr>
        <w:t>Council</w:t>
      </w:r>
      <w:r>
        <w:rPr>
          <w:lang w:val="en-US"/>
        </w:rPr>
        <w:t xml:space="preserve"> rates they pay</w:t>
      </w:r>
      <w:r w:rsidR="00C164DA">
        <w:rPr>
          <w:lang w:val="en-US"/>
        </w:rPr>
        <w:t xml:space="preserve"> however, other rate payers including elderly ratepayers in their own home could also argue this point in relation to their rates not reflecting their limited use of Council services.</w:t>
      </w:r>
    </w:p>
    <w:p w:rsidR="00D157D7" w:rsidRDefault="008B02A1" w:rsidP="00502F86">
      <w:pPr>
        <w:pStyle w:val="ListParagraph"/>
        <w:numPr>
          <w:ilvl w:val="0"/>
          <w:numId w:val="29"/>
        </w:numPr>
        <w:jc w:val="both"/>
        <w:rPr>
          <w:lang w:val="en-US"/>
        </w:rPr>
      </w:pPr>
      <w:r w:rsidRPr="00502F86">
        <w:rPr>
          <w:lang w:val="en-US"/>
        </w:rPr>
        <w:t>The argument about provision of infrastructure is also somewhat flawed</w:t>
      </w:r>
      <w:r w:rsidR="00502F86" w:rsidRPr="00502F86">
        <w:rPr>
          <w:lang w:val="en-US"/>
        </w:rPr>
        <w:t>.  F</w:t>
      </w:r>
      <w:r w:rsidRPr="00502F86">
        <w:rPr>
          <w:lang w:val="en-US"/>
        </w:rPr>
        <w:t>or all new development</w:t>
      </w:r>
      <w:r w:rsidR="00502F86" w:rsidRPr="00502F86">
        <w:rPr>
          <w:lang w:val="en-US"/>
        </w:rPr>
        <w:t>s</w:t>
      </w:r>
      <w:r w:rsidRPr="00502F86">
        <w:rPr>
          <w:lang w:val="en-US"/>
        </w:rPr>
        <w:t>, the developer builds these assets and</w:t>
      </w:r>
      <w:r w:rsidR="00502F86" w:rsidRPr="00502F86">
        <w:rPr>
          <w:lang w:val="en-US"/>
        </w:rPr>
        <w:t xml:space="preserve"> recovers this cost in the price</w:t>
      </w:r>
      <w:r w:rsidRPr="00502F86">
        <w:rPr>
          <w:lang w:val="en-US"/>
        </w:rPr>
        <w:t xml:space="preserve"> of the land – and then </w:t>
      </w:r>
      <w:r w:rsidR="00502F86" w:rsidRPr="00502F86">
        <w:rPr>
          <w:lang w:val="en-US"/>
        </w:rPr>
        <w:t xml:space="preserve">in some instances </w:t>
      </w:r>
      <w:r w:rsidRPr="00502F86">
        <w:rPr>
          <w:lang w:val="en-US"/>
        </w:rPr>
        <w:t>hands these assets to</w:t>
      </w:r>
      <w:r w:rsidR="00502F86" w:rsidRPr="00502F86">
        <w:rPr>
          <w:lang w:val="en-US"/>
        </w:rPr>
        <w:t xml:space="preserve"> </w:t>
      </w:r>
      <w:r w:rsidR="0019151A">
        <w:rPr>
          <w:lang w:val="en-US"/>
        </w:rPr>
        <w:t>Council</w:t>
      </w:r>
      <w:r w:rsidR="00502F86" w:rsidRPr="00502F86">
        <w:rPr>
          <w:lang w:val="en-US"/>
        </w:rPr>
        <w:t xml:space="preserve"> for future maintenance;</w:t>
      </w:r>
      <w:r w:rsidR="00502F86">
        <w:rPr>
          <w:lang w:val="en-US"/>
        </w:rPr>
        <w:t xml:space="preserve"> and</w:t>
      </w:r>
    </w:p>
    <w:p w:rsidR="00502F86" w:rsidRPr="00502F86" w:rsidRDefault="00502F86" w:rsidP="00502F86">
      <w:pPr>
        <w:pStyle w:val="ListParagraph"/>
        <w:numPr>
          <w:ilvl w:val="0"/>
          <w:numId w:val="29"/>
        </w:numPr>
        <w:jc w:val="both"/>
        <w:rPr>
          <w:lang w:val="en-US"/>
        </w:rPr>
      </w:pPr>
      <w:r w:rsidRPr="00502F86">
        <w:rPr>
          <w:lang w:val="en-US"/>
        </w:rPr>
        <w:t>In terms of rate modeling, the cost of providing a discount to Retirement Villages would need to be spread over the remaining rate categories.  Whilst this spread may be minimal it may still place a greater burden on those elderly residents not able to</w:t>
      </w:r>
      <w:r>
        <w:rPr>
          <w:lang w:val="en-US"/>
        </w:rPr>
        <w:t>,</w:t>
      </w:r>
      <w:r w:rsidRPr="00502F86">
        <w:rPr>
          <w:lang w:val="en-US"/>
        </w:rPr>
        <w:t xml:space="preserve"> or not wishing to</w:t>
      </w:r>
      <w:r>
        <w:rPr>
          <w:lang w:val="en-US"/>
        </w:rPr>
        <w:t>,</w:t>
      </w:r>
      <w:r w:rsidRPr="00502F86">
        <w:rPr>
          <w:lang w:val="en-US"/>
        </w:rPr>
        <w:t xml:space="preserve"> move into a retirement village.</w:t>
      </w:r>
    </w:p>
    <w:p w:rsidR="00EF30DC" w:rsidRDefault="00EF30DC" w:rsidP="004D0908">
      <w:pPr>
        <w:jc w:val="both"/>
        <w:rPr>
          <w:lang w:val="en-US"/>
        </w:rPr>
      </w:pPr>
    </w:p>
    <w:p w:rsidR="00784CDC" w:rsidRDefault="00EF30DC" w:rsidP="004D0908">
      <w:pPr>
        <w:pStyle w:val="NoSpacing"/>
        <w:jc w:val="both"/>
        <w:rPr>
          <w:lang w:val="en-US"/>
        </w:rPr>
      </w:pPr>
      <w:r>
        <w:rPr>
          <w:lang w:val="en-US"/>
        </w:rPr>
        <w:t xml:space="preserve">This strategy recommends that no </w:t>
      </w:r>
      <w:r w:rsidR="00502F86">
        <w:rPr>
          <w:lang w:val="en-US"/>
        </w:rPr>
        <w:t xml:space="preserve">provision of a differential rate </w:t>
      </w:r>
      <w:r>
        <w:rPr>
          <w:lang w:val="en-US"/>
        </w:rPr>
        <w:t>be made for retirement villages.</w:t>
      </w:r>
    </w:p>
    <w:p w:rsidR="003659BB" w:rsidRDefault="003659BB" w:rsidP="00534780">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50" w:name="_Toc499624701"/>
      <w:r>
        <w:t>Strategy Recommendations</w:t>
      </w:r>
      <w:bookmarkEnd w:id="50"/>
    </w:p>
    <w:p w:rsidR="00EF30DC" w:rsidRDefault="003659BB" w:rsidP="00CA3F11">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sidRPr="003659BB">
        <w:rPr>
          <w:lang w:val="en-US"/>
        </w:rPr>
        <w:t xml:space="preserve">That </w:t>
      </w:r>
      <w:r w:rsidR="0019151A">
        <w:rPr>
          <w:lang w:val="en-US"/>
        </w:rPr>
        <w:t>Council</w:t>
      </w:r>
      <w:r w:rsidR="00C164DA">
        <w:rPr>
          <w:lang w:val="en-US"/>
        </w:rPr>
        <w:t>:</w:t>
      </w:r>
      <w:r w:rsidR="00C164DA">
        <w:rPr>
          <w:lang w:val="en-US"/>
        </w:rPr>
        <w:br/>
        <w:t>1.</w:t>
      </w:r>
      <w:r w:rsidRPr="003659BB">
        <w:rPr>
          <w:lang w:val="en-US"/>
        </w:rPr>
        <w:t xml:space="preserve"> </w:t>
      </w:r>
      <w:r w:rsidR="00C164DA">
        <w:rPr>
          <w:lang w:val="en-US"/>
        </w:rPr>
        <w:t>C</w:t>
      </w:r>
      <w:r w:rsidRPr="003659BB">
        <w:rPr>
          <w:lang w:val="en-US"/>
        </w:rPr>
        <w:t xml:space="preserve">ontinues to apply a uniform general rate for all residential properties, including </w:t>
      </w:r>
      <w:r w:rsidR="00EF30DC">
        <w:rPr>
          <w:lang w:val="en-US"/>
        </w:rPr>
        <w:t>retirement</w:t>
      </w:r>
    </w:p>
    <w:p w:rsidR="003659BB" w:rsidRPr="003659BB" w:rsidRDefault="00EF30DC" w:rsidP="00EF30DC">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    villages, apartments, townhouse, units</w:t>
      </w:r>
      <w:r w:rsidR="00D157D7">
        <w:rPr>
          <w:lang w:val="en-US"/>
        </w:rPr>
        <w:t>,</w:t>
      </w:r>
      <w:r>
        <w:rPr>
          <w:lang w:val="en-US"/>
        </w:rPr>
        <w:t xml:space="preserve"> and </w:t>
      </w:r>
      <w:r w:rsidR="003659BB" w:rsidRPr="003659BB">
        <w:rPr>
          <w:lang w:val="en-US"/>
        </w:rPr>
        <w:t>flats;</w:t>
      </w:r>
    </w:p>
    <w:p w:rsidR="003659BB" w:rsidRDefault="003659BB" w:rsidP="0051074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2. </w:t>
      </w:r>
      <w:r w:rsidR="00C164DA">
        <w:rPr>
          <w:lang w:val="en-US"/>
        </w:rPr>
        <w:t>C</w:t>
      </w:r>
      <w:r w:rsidRPr="003659BB">
        <w:rPr>
          <w:lang w:val="en-US"/>
        </w:rPr>
        <w:t>ontinues to apply the vacant residential land a</w:t>
      </w:r>
      <w:r>
        <w:rPr>
          <w:lang w:val="en-US"/>
        </w:rPr>
        <w:t xml:space="preserve">t an increased </w:t>
      </w:r>
      <w:r w:rsidR="00C164DA">
        <w:rPr>
          <w:lang w:val="en-US"/>
        </w:rPr>
        <w:t>variation to the general rate of 50%</w:t>
      </w:r>
    </w:p>
    <w:p w:rsidR="003659BB" w:rsidRDefault="003659BB" w:rsidP="0051074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3. </w:t>
      </w:r>
      <w:r w:rsidR="00C164DA">
        <w:rPr>
          <w:lang w:val="en-US"/>
        </w:rPr>
        <w:t>A</w:t>
      </w:r>
      <w:r w:rsidRPr="003659BB">
        <w:rPr>
          <w:lang w:val="en-US"/>
        </w:rPr>
        <w:t>ppl</w:t>
      </w:r>
      <w:r w:rsidR="009360C6">
        <w:rPr>
          <w:lang w:val="en-US"/>
        </w:rPr>
        <w:t>y an</w:t>
      </w:r>
      <w:r w:rsidRPr="003659BB">
        <w:rPr>
          <w:lang w:val="en-US"/>
        </w:rPr>
        <w:t xml:space="preserve"> increased </w:t>
      </w:r>
      <w:r w:rsidR="00600EC0">
        <w:rPr>
          <w:lang w:val="en-US"/>
        </w:rPr>
        <w:t xml:space="preserve">variation to the general rate </w:t>
      </w:r>
      <w:r w:rsidR="009360C6">
        <w:rPr>
          <w:lang w:val="en-US"/>
        </w:rPr>
        <w:t>for commercial land</w:t>
      </w:r>
      <w:r w:rsidR="00600EC0">
        <w:rPr>
          <w:lang w:val="en-US"/>
        </w:rPr>
        <w:t xml:space="preserve"> of </w:t>
      </w:r>
      <w:r w:rsidR="002F56CD" w:rsidRPr="002F56CD">
        <w:rPr>
          <w:lang w:val="en-US"/>
        </w:rPr>
        <w:t>20</w:t>
      </w:r>
      <w:r w:rsidR="00600EC0">
        <w:rPr>
          <w:lang w:val="en-US"/>
        </w:rPr>
        <w:t>%</w:t>
      </w:r>
    </w:p>
    <w:p w:rsidR="001418F7" w:rsidRDefault="001418F7" w:rsidP="0051074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4</w:t>
      </w:r>
      <w:r w:rsidR="00C164DA">
        <w:rPr>
          <w:lang w:val="en-US"/>
        </w:rPr>
        <w:t>.</w:t>
      </w:r>
      <w:r>
        <w:rPr>
          <w:lang w:val="en-US"/>
        </w:rPr>
        <w:t xml:space="preserve"> </w:t>
      </w:r>
      <w:r w:rsidR="00C164DA">
        <w:rPr>
          <w:lang w:val="en-US"/>
        </w:rPr>
        <w:t>A</w:t>
      </w:r>
      <w:r>
        <w:rPr>
          <w:lang w:val="en-US"/>
        </w:rPr>
        <w:t xml:space="preserve">pply an </w:t>
      </w:r>
      <w:r w:rsidR="009360C6">
        <w:rPr>
          <w:lang w:val="en-US"/>
        </w:rPr>
        <w:t xml:space="preserve">increased </w:t>
      </w:r>
      <w:r w:rsidR="00600EC0">
        <w:rPr>
          <w:lang w:val="en-US"/>
        </w:rPr>
        <w:t xml:space="preserve">variation to the general rate </w:t>
      </w:r>
      <w:r w:rsidR="009360C6">
        <w:rPr>
          <w:lang w:val="en-US"/>
        </w:rPr>
        <w:t xml:space="preserve">for </w:t>
      </w:r>
      <w:r>
        <w:rPr>
          <w:lang w:val="en-US"/>
        </w:rPr>
        <w:t xml:space="preserve">industrial </w:t>
      </w:r>
      <w:r w:rsidR="009360C6">
        <w:rPr>
          <w:lang w:val="en-US"/>
        </w:rPr>
        <w:t>land</w:t>
      </w:r>
      <w:r w:rsidR="00600EC0">
        <w:rPr>
          <w:lang w:val="en-US"/>
        </w:rPr>
        <w:t xml:space="preserve"> of </w:t>
      </w:r>
      <w:r w:rsidR="002F56CD" w:rsidRPr="002F56CD">
        <w:rPr>
          <w:lang w:val="en-US"/>
        </w:rPr>
        <w:t>20</w:t>
      </w:r>
      <w:r w:rsidR="002F56CD">
        <w:rPr>
          <w:lang w:val="en-US"/>
        </w:rPr>
        <w:t>%</w:t>
      </w:r>
    </w:p>
    <w:p w:rsidR="007E5EE9" w:rsidRDefault="007E5EE9" w:rsidP="0051074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5</w:t>
      </w:r>
      <w:r w:rsidR="00C164DA">
        <w:rPr>
          <w:lang w:val="en-US"/>
        </w:rPr>
        <w:t>.</w:t>
      </w:r>
      <w:r>
        <w:rPr>
          <w:lang w:val="en-US"/>
        </w:rPr>
        <w:t xml:space="preserve"> </w:t>
      </w:r>
      <w:r w:rsidR="00C164DA">
        <w:rPr>
          <w:lang w:val="en-US"/>
        </w:rPr>
        <w:t>A</w:t>
      </w:r>
      <w:r>
        <w:rPr>
          <w:lang w:val="en-US"/>
        </w:rPr>
        <w:t xml:space="preserve">pply an increased </w:t>
      </w:r>
      <w:r w:rsidR="00600EC0">
        <w:rPr>
          <w:lang w:val="en-US"/>
        </w:rPr>
        <w:t>variation to the general rate for derelict land of</w:t>
      </w:r>
      <w:r w:rsidR="002F56CD">
        <w:rPr>
          <w:lang w:val="en-US"/>
        </w:rPr>
        <w:t xml:space="preserve"> 200</w:t>
      </w:r>
      <w:r w:rsidR="00600EC0">
        <w:rPr>
          <w:lang w:val="en-US"/>
        </w:rPr>
        <w:t>%</w:t>
      </w:r>
    </w:p>
    <w:p w:rsidR="007E5EE9" w:rsidRPr="003659BB" w:rsidRDefault="007E5EE9" w:rsidP="007E5EE9">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6</w:t>
      </w:r>
      <w:r w:rsidR="00C164DA">
        <w:rPr>
          <w:lang w:val="en-US"/>
        </w:rPr>
        <w:t>. C</w:t>
      </w:r>
      <w:r>
        <w:rPr>
          <w:lang w:val="en-US"/>
        </w:rPr>
        <w:t xml:space="preserve">ontinues to apply the Cultural and </w:t>
      </w:r>
      <w:r w:rsidR="00600EC0">
        <w:rPr>
          <w:lang w:val="en-US"/>
        </w:rPr>
        <w:t>Recreation Land discount of 35%</w:t>
      </w:r>
      <w:r w:rsidR="000814C7">
        <w:rPr>
          <w:lang w:val="en-US"/>
        </w:rPr>
        <w:t xml:space="preserve"> to the general rate</w:t>
      </w:r>
    </w:p>
    <w:p w:rsidR="003659BB" w:rsidRPr="003659BB" w:rsidRDefault="003659BB" w:rsidP="007E5EE9">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p>
    <w:p w:rsidR="00837461" w:rsidRDefault="00837461" w:rsidP="005D53AC">
      <w:pPr>
        <w:rPr>
          <w:lang w:val="en-US"/>
        </w:rPr>
      </w:pPr>
    </w:p>
    <w:p w:rsidR="004513E6" w:rsidRDefault="003659BB" w:rsidP="004D0908">
      <w:pPr>
        <w:jc w:val="both"/>
        <w:rPr>
          <w:lang w:val="en-US"/>
        </w:rPr>
      </w:pPr>
      <w:r>
        <w:rPr>
          <w:lang w:val="en-US"/>
        </w:rPr>
        <w:t xml:space="preserve">In implementing the above outcomes, </w:t>
      </w:r>
      <w:r w:rsidR="0019151A">
        <w:rPr>
          <w:lang w:val="en-US"/>
        </w:rPr>
        <w:t>Council</w:t>
      </w:r>
      <w:r>
        <w:rPr>
          <w:lang w:val="en-US"/>
        </w:rPr>
        <w:t xml:space="preserve"> </w:t>
      </w:r>
      <w:r w:rsidR="00534780">
        <w:rPr>
          <w:lang w:val="en-US"/>
        </w:rPr>
        <w:t>must</w:t>
      </w:r>
      <w:r>
        <w:rPr>
          <w:lang w:val="en-US"/>
        </w:rPr>
        <w:t xml:space="preserve"> be mindful of the periodic impacts of </w:t>
      </w:r>
      <w:r w:rsidR="0019151A">
        <w:rPr>
          <w:lang w:val="en-US"/>
        </w:rPr>
        <w:t>Council</w:t>
      </w:r>
      <w:r>
        <w:rPr>
          <w:lang w:val="en-US"/>
        </w:rPr>
        <w:t xml:space="preserve"> revaluations as disc</w:t>
      </w:r>
      <w:r w:rsidR="00071C8F">
        <w:rPr>
          <w:lang w:val="en-US"/>
        </w:rPr>
        <w:t>ussed in the following section.</w:t>
      </w:r>
    </w:p>
    <w:p w:rsidR="003659BB" w:rsidRDefault="003659BB" w:rsidP="003659BB">
      <w:pPr>
        <w:pStyle w:val="Heading1"/>
        <w:rPr>
          <w:lang w:val="en-US"/>
        </w:rPr>
      </w:pPr>
      <w:bookmarkStart w:id="51" w:name="_Toc499624702"/>
      <w:r>
        <w:rPr>
          <w:lang w:val="en-US"/>
        </w:rPr>
        <w:t xml:space="preserve">7.  Understanding the impacts of </w:t>
      </w:r>
      <w:r w:rsidR="0019151A">
        <w:rPr>
          <w:lang w:val="en-US"/>
        </w:rPr>
        <w:t>Council</w:t>
      </w:r>
      <w:r>
        <w:rPr>
          <w:lang w:val="en-US"/>
        </w:rPr>
        <w:t xml:space="preserve"> revaluations</w:t>
      </w:r>
      <w:bookmarkEnd w:id="51"/>
    </w:p>
    <w:p w:rsidR="004D2436" w:rsidRDefault="004D2436" w:rsidP="004D0908">
      <w:pPr>
        <w:jc w:val="both"/>
        <w:rPr>
          <w:lang w:val="en-US"/>
        </w:rPr>
      </w:pPr>
      <w:r>
        <w:rPr>
          <w:lang w:val="en-US"/>
        </w:rPr>
        <w:t>The purpose of this section is to provide an overview of the rate revaluation process and issues that arise from this process.</w:t>
      </w:r>
    </w:p>
    <w:p w:rsidR="004D2436" w:rsidRDefault="004D2436" w:rsidP="004D0908">
      <w:pPr>
        <w:jc w:val="both"/>
        <w:rPr>
          <w:lang w:val="en-US"/>
        </w:rPr>
      </w:pPr>
    </w:p>
    <w:p w:rsidR="004D2436" w:rsidRDefault="004D2436" w:rsidP="004D0908">
      <w:pPr>
        <w:jc w:val="both"/>
        <w:rPr>
          <w:lang w:val="en-US"/>
        </w:rPr>
      </w:pPr>
      <w:r>
        <w:rPr>
          <w:lang w:val="en-US"/>
        </w:rPr>
        <w:t xml:space="preserve">All Victorian </w:t>
      </w:r>
      <w:r w:rsidR="0019151A">
        <w:rPr>
          <w:lang w:val="en-US"/>
        </w:rPr>
        <w:t>Council</w:t>
      </w:r>
      <w:r>
        <w:rPr>
          <w:lang w:val="en-US"/>
        </w:rPr>
        <w:t xml:space="preserve">s are currently required under the Valuations of Land Act (1960) to revalue properties every two years.  The next revaluation will be at 1 January 2018.  The 2016 valuation, completed in January 2016, will applied to the 2016/2017 </w:t>
      </w:r>
      <w:r w:rsidR="00BC6DD7">
        <w:rPr>
          <w:lang w:val="en-US"/>
        </w:rPr>
        <w:t>rates,</w:t>
      </w:r>
      <w:r>
        <w:rPr>
          <w:lang w:val="en-US"/>
        </w:rPr>
        <w:t xml:space="preserve"> and will also apply to the 2017/2018 rates.</w:t>
      </w:r>
    </w:p>
    <w:p w:rsidR="004D2436" w:rsidRDefault="004D2436" w:rsidP="004D0908">
      <w:pPr>
        <w:jc w:val="both"/>
        <w:rPr>
          <w:lang w:val="en-US"/>
        </w:rPr>
      </w:pPr>
    </w:p>
    <w:p w:rsidR="004D2436" w:rsidRDefault="004D2436" w:rsidP="004D0908">
      <w:pPr>
        <w:jc w:val="both"/>
        <w:rPr>
          <w:lang w:val="en-US"/>
        </w:rPr>
      </w:pPr>
      <w:r>
        <w:rPr>
          <w:lang w:val="en-US"/>
        </w:rPr>
        <w:t>Property values are determined by qualified Valuers comparing each property to the recent sales figures of similar properties in the neighbourhood.  The key factors are location, land size, type of house and condition.  The Valuer General of Victoria is responsible for reviewing the total valuation of each municipality for accuracy before certifying that the valuations are true and correct.  Valuations are conducted using Best Practice Guidelines formulated and published by t</w:t>
      </w:r>
      <w:r w:rsidR="00A9584D">
        <w:rPr>
          <w:lang w:val="en-US"/>
        </w:rPr>
        <w:t xml:space="preserve">he Valuer General of Victoria. </w:t>
      </w:r>
    </w:p>
    <w:p w:rsidR="004D2436" w:rsidRDefault="004D2436" w:rsidP="004D2436">
      <w:pPr>
        <w:pStyle w:val="Heading2"/>
      </w:pPr>
      <w:bookmarkStart w:id="52" w:name="_Toc499624703"/>
      <w:r>
        <w:t>No windfall gain</w:t>
      </w:r>
      <w:bookmarkEnd w:id="52"/>
    </w:p>
    <w:p w:rsidR="004D2436" w:rsidRDefault="004D2436" w:rsidP="004D0908">
      <w:pPr>
        <w:jc w:val="both"/>
        <w:rPr>
          <w:lang w:val="en-US"/>
        </w:rPr>
      </w:pPr>
      <w:r>
        <w:rPr>
          <w:lang w:val="en-US"/>
        </w:rPr>
        <w:t xml:space="preserve">There is a common misconception that if a property’s valuation rises then </w:t>
      </w:r>
      <w:r w:rsidR="0019151A">
        <w:rPr>
          <w:lang w:val="en-US"/>
        </w:rPr>
        <w:t>Council</w:t>
      </w:r>
      <w:r>
        <w:rPr>
          <w:lang w:val="en-US"/>
        </w:rPr>
        <w:t xml:space="preserve"> receives a “windfall gain” with additional income.  This is not so as the revaluation process results in a redistribution of the rate burden across all properties in the municipality.  Any increase to total valuations of the municipality</w:t>
      </w:r>
      <w:r w:rsidR="00B44CE0">
        <w:rPr>
          <w:lang w:val="en-US"/>
        </w:rPr>
        <w:t>,</w:t>
      </w:r>
      <w:r>
        <w:rPr>
          <w:lang w:val="en-US"/>
        </w:rPr>
        <w:t xml:space="preserve"> is offset by a reduction to the rate in dollar (ad valorem rate) used to calculate the rate for each property.  Total income is fixed each year as part of the budget process</w:t>
      </w:r>
      <w:r w:rsidR="007E36BF">
        <w:rPr>
          <w:lang w:val="en-US"/>
        </w:rPr>
        <w:t xml:space="preserve"> depending on the cost of services, projects and programs to meet the communities needs and expectations</w:t>
      </w:r>
      <w:r>
        <w:rPr>
          <w:lang w:val="en-US"/>
        </w:rPr>
        <w:t xml:space="preserve">.  </w:t>
      </w:r>
      <w:r w:rsidR="007E36BF">
        <w:rPr>
          <w:lang w:val="en-US"/>
        </w:rPr>
        <w:t xml:space="preserve">This is within the context of the Minister for Local Government each year in December setting the rate cap for municipalities which </w:t>
      </w:r>
      <w:r>
        <w:rPr>
          <w:lang w:val="en-US"/>
        </w:rPr>
        <w:t>only seeks to increase the t</w:t>
      </w:r>
      <w:r w:rsidR="007E36BF">
        <w:rPr>
          <w:lang w:val="en-US"/>
        </w:rPr>
        <w:t>otal amount of Council’s own source revenue required</w:t>
      </w:r>
      <w:r w:rsidRPr="009360C6">
        <w:rPr>
          <w:lang w:val="en-US"/>
        </w:rPr>
        <w:t>.</w:t>
      </w:r>
    </w:p>
    <w:p w:rsidR="004D2436" w:rsidRDefault="004D2436" w:rsidP="004D0908">
      <w:pPr>
        <w:jc w:val="both"/>
        <w:rPr>
          <w:lang w:val="en-US"/>
        </w:rPr>
      </w:pPr>
    </w:p>
    <w:p w:rsidR="004D2436" w:rsidRDefault="00101C87" w:rsidP="004D0908">
      <w:pPr>
        <w:jc w:val="both"/>
        <w:rPr>
          <w:lang w:val="en-US"/>
        </w:rPr>
      </w:pPr>
      <w:r>
        <w:rPr>
          <w:lang w:val="en-US"/>
        </w:rPr>
        <w:t>For example, the</w:t>
      </w:r>
      <w:r w:rsidR="004D2436">
        <w:rPr>
          <w:lang w:val="en-US"/>
        </w:rPr>
        <w:t xml:space="preserve"> table</w:t>
      </w:r>
      <w:r w:rsidR="005A3E3A">
        <w:rPr>
          <w:lang w:val="en-US"/>
        </w:rPr>
        <w:t xml:space="preserve"> below from the 2016 Revaluation Report</w:t>
      </w:r>
      <w:r>
        <w:rPr>
          <w:lang w:val="en-US"/>
        </w:rPr>
        <w:t xml:space="preserve"> </w:t>
      </w:r>
      <w:r w:rsidR="004D2436">
        <w:rPr>
          <w:lang w:val="en-US"/>
        </w:rPr>
        <w:t xml:space="preserve">highlights the impact of the 2016 </w:t>
      </w:r>
      <w:r w:rsidR="0019151A">
        <w:rPr>
          <w:lang w:val="en-US"/>
        </w:rPr>
        <w:t>Council</w:t>
      </w:r>
      <w:r w:rsidR="004D2436">
        <w:rPr>
          <w:lang w:val="en-US"/>
        </w:rPr>
        <w:t xml:space="preserve"> revaluation.</w:t>
      </w:r>
    </w:p>
    <w:p w:rsidR="003D0405" w:rsidRDefault="003D0405" w:rsidP="004D0908">
      <w:pPr>
        <w:jc w:val="both"/>
        <w:rPr>
          <w:lang w:val="en-US"/>
        </w:rPr>
      </w:pPr>
    </w:p>
    <w:p w:rsidR="003D0405" w:rsidRDefault="003D0405" w:rsidP="004D0908">
      <w:pPr>
        <w:jc w:val="both"/>
        <w:rPr>
          <w:lang w:val="en-US"/>
        </w:rPr>
      </w:pPr>
    </w:p>
    <w:p w:rsidR="00AD5DCC" w:rsidRDefault="00AD5DCC" w:rsidP="004D2436">
      <w:pPr>
        <w:rPr>
          <w:lang w:val="en-US"/>
        </w:rPr>
      </w:pPr>
    </w:p>
    <w:tbl>
      <w:tblPr>
        <w:tblStyle w:val="TableGrid"/>
        <w:tblW w:w="0" w:type="auto"/>
        <w:tblInd w:w="108" w:type="dxa"/>
        <w:tblLook w:val="04A0" w:firstRow="1" w:lastRow="0" w:firstColumn="1" w:lastColumn="0" w:noHBand="0" w:noVBand="1"/>
      </w:tblPr>
      <w:tblGrid>
        <w:gridCol w:w="3354"/>
        <w:gridCol w:w="1991"/>
        <w:gridCol w:w="1868"/>
        <w:gridCol w:w="1868"/>
        <w:gridCol w:w="1267"/>
      </w:tblGrid>
      <w:tr w:rsidR="00C53D6E" w:rsidTr="004D0908">
        <w:tc>
          <w:tcPr>
            <w:tcW w:w="3526" w:type="dxa"/>
            <w:tcBorders>
              <w:right w:val="nil"/>
            </w:tcBorders>
            <w:shd w:val="clear" w:color="auto" w:fill="365F91" w:themeFill="accent1" w:themeFillShade="BF"/>
            <w:vAlign w:val="bottom"/>
          </w:tcPr>
          <w:p w:rsidR="00435D91" w:rsidRPr="00B44CE0" w:rsidRDefault="00435D91" w:rsidP="00223A50">
            <w:pPr>
              <w:rPr>
                <w:b/>
                <w:color w:val="FFFFFF" w:themeColor="background1"/>
                <w:lang w:val="en-US"/>
              </w:rPr>
            </w:pPr>
            <w:r w:rsidRPr="00B44CE0">
              <w:rPr>
                <w:b/>
                <w:color w:val="FFFFFF" w:themeColor="background1"/>
                <w:lang w:val="en-US"/>
              </w:rPr>
              <w:t>Type or class of land</w:t>
            </w:r>
          </w:p>
        </w:tc>
        <w:tc>
          <w:tcPr>
            <w:tcW w:w="2023" w:type="dxa"/>
            <w:tcBorders>
              <w:left w:val="nil"/>
              <w:right w:val="nil"/>
            </w:tcBorders>
            <w:shd w:val="clear" w:color="auto" w:fill="365F91" w:themeFill="accent1" w:themeFillShade="BF"/>
            <w:vAlign w:val="bottom"/>
          </w:tcPr>
          <w:p w:rsidR="00435D91" w:rsidRPr="00B44CE0" w:rsidRDefault="00435D91" w:rsidP="00223A50">
            <w:pPr>
              <w:jc w:val="right"/>
              <w:rPr>
                <w:b/>
                <w:color w:val="FFFFFF" w:themeColor="background1"/>
                <w:lang w:val="en-US"/>
              </w:rPr>
            </w:pPr>
            <w:r w:rsidRPr="00B44CE0">
              <w:rPr>
                <w:b/>
                <w:color w:val="FFFFFF" w:themeColor="background1"/>
                <w:lang w:val="en-US"/>
              </w:rPr>
              <w:t># of Assessments</w:t>
            </w:r>
          </w:p>
        </w:tc>
        <w:tc>
          <w:tcPr>
            <w:tcW w:w="1868" w:type="dxa"/>
            <w:tcBorders>
              <w:left w:val="nil"/>
              <w:right w:val="nil"/>
            </w:tcBorders>
            <w:shd w:val="clear" w:color="auto" w:fill="365F91" w:themeFill="accent1" w:themeFillShade="BF"/>
            <w:vAlign w:val="bottom"/>
          </w:tcPr>
          <w:p w:rsidR="00435D91" w:rsidRDefault="00C53D6E" w:rsidP="00223A50">
            <w:pPr>
              <w:jc w:val="right"/>
              <w:rPr>
                <w:b/>
                <w:color w:val="FFFFFF" w:themeColor="background1"/>
                <w:lang w:val="en-US"/>
              </w:rPr>
            </w:pPr>
            <w:r>
              <w:rPr>
                <w:b/>
                <w:color w:val="FFFFFF" w:themeColor="background1"/>
                <w:lang w:val="en-US"/>
              </w:rPr>
              <w:t xml:space="preserve"> Total 2014</w:t>
            </w:r>
          </w:p>
          <w:p w:rsidR="00223A50" w:rsidRPr="00B44CE0" w:rsidRDefault="00223A50" w:rsidP="00223A50">
            <w:pPr>
              <w:jc w:val="right"/>
              <w:rPr>
                <w:b/>
                <w:color w:val="FFFFFF" w:themeColor="background1"/>
                <w:lang w:val="en-US"/>
              </w:rPr>
            </w:pPr>
            <w:r>
              <w:rPr>
                <w:b/>
                <w:color w:val="FFFFFF" w:themeColor="background1"/>
                <w:lang w:val="en-US"/>
              </w:rPr>
              <w:t>CIV $</w:t>
            </w:r>
          </w:p>
        </w:tc>
        <w:tc>
          <w:tcPr>
            <w:tcW w:w="1868" w:type="dxa"/>
            <w:tcBorders>
              <w:left w:val="nil"/>
              <w:right w:val="nil"/>
            </w:tcBorders>
            <w:shd w:val="clear" w:color="auto" w:fill="365F91" w:themeFill="accent1" w:themeFillShade="BF"/>
            <w:vAlign w:val="bottom"/>
          </w:tcPr>
          <w:p w:rsidR="00435D91" w:rsidRDefault="00C53D6E" w:rsidP="00223A50">
            <w:pPr>
              <w:jc w:val="right"/>
              <w:rPr>
                <w:b/>
                <w:color w:val="FFFFFF" w:themeColor="background1"/>
                <w:lang w:val="en-US"/>
              </w:rPr>
            </w:pPr>
            <w:r>
              <w:rPr>
                <w:b/>
                <w:color w:val="FFFFFF" w:themeColor="background1"/>
                <w:lang w:val="en-US"/>
              </w:rPr>
              <w:t xml:space="preserve">Total </w:t>
            </w:r>
            <w:r w:rsidR="00435D91" w:rsidRPr="00B44CE0">
              <w:rPr>
                <w:b/>
                <w:color w:val="FFFFFF" w:themeColor="background1"/>
                <w:lang w:val="en-US"/>
              </w:rPr>
              <w:t>2016</w:t>
            </w:r>
          </w:p>
          <w:p w:rsidR="00223A50" w:rsidRPr="00B44CE0" w:rsidRDefault="00223A50" w:rsidP="00223A50">
            <w:pPr>
              <w:jc w:val="right"/>
              <w:rPr>
                <w:b/>
                <w:color w:val="FFFFFF" w:themeColor="background1"/>
                <w:lang w:val="en-US"/>
              </w:rPr>
            </w:pPr>
            <w:r>
              <w:rPr>
                <w:b/>
                <w:color w:val="FFFFFF" w:themeColor="background1"/>
                <w:lang w:val="en-US"/>
              </w:rPr>
              <w:t>CIV $</w:t>
            </w:r>
          </w:p>
        </w:tc>
        <w:tc>
          <w:tcPr>
            <w:tcW w:w="1289" w:type="dxa"/>
            <w:tcBorders>
              <w:left w:val="nil"/>
            </w:tcBorders>
            <w:shd w:val="clear" w:color="auto" w:fill="365F91" w:themeFill="accent1" w:themeFillShade="BF"/>
            <w:vAlign w:val="bottom"/>
          </w:tcPr>
          <w:p w:rsidR="00435D91" w:rsidRPr="00B44CE0" w:rsidRDefault="00435D91" w:rsidP="00223A50">
            <w:pPr>
              <w:jc w:val="right"/>
              <w:rPr>
                <w:b/>
                <w:color w:val="FFFFFF" w:themeColor="background1"/>
                <w:lang w:val="en-US"/>
              </w:rPr>
            </w:pPr>
            <w:r w:rsidRPr="00B44CE0">
              <w:rPr>
                <w:b/>
                <w:color w:val="FFFFFF" w:themeColor="background1"/>
                <w:lang w:val="en-US"/>
              </w:rPr>
              <w:t>Change</w:t>
            </w:r>
          </w:p>
        </w:tc>
      </w:tr>
      <w:tr w:rsidR="00C53D6E" w:rsidTr="004D0908">
        <w:tc>
          <w:tcPr>
            <w:tcW w:w="3526" w:type="dxa"/>
            <w:tcBorders>
              <w:bottom w:val="nil"/>
              <w:right w:val="nil"/>
            </w:tcBorders>
            <w:vAlign w:val="center"/>
          </w:tcPr>
          <w:p w:rsidR="00C53D6E" w:rsidRDefault="00C53D6E" w:rsidP="00C53D6E">
            <w:pPr>
              <w:rPr>
                <w:lang w:val="en-US"/>
              </w:rPr>
            </w:pPr>
            <w:r>
              <w:rPr>
                <w:lang w:val="en-US"/>
              </w:rPr>
              <w:t>General Rate</w:t>
            </w:r>
          </w:p>
        </w:tc>
        <w:tc>
          <w:tcPr>
            <w:tcW w:w="2023" w:type="dxa"/>
            <w:tcBorders>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44,518</w:t>
            </w:r>
          </w:p>
        </w:tc>
        <w:tc>
          <w:tcPr>
            <w:tcW w:w="1868" w:type="dxa"/>
            <w:tcBorders>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20,817,676,000</w:t>
            </w:r>
          </w:p>
        </w:tc>
        <w:tc>
          <w:tcPr>
            <w:tcW w:w="1868" w:type="dxa"/>
            <w:tcBorders>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27,322,214,587</w:t>
            </w:r>
          </w:p>
        </w:tc>
        <w:tc>
          <w:tcPr>
            <w:tcW w:w="1289" w:type="dxa"/>
            <w:tcBorders>
              <w:left w:val="nil"/>
              <w:bottom w:val="nil"/>
            </w:tcBorders>
            <w:vAlign w:val="bottom"/>
          </w:tcPr>
          <w:p w:rsidR="00C53D6E" w:rsidRPr="00C53D6E" w:rsidRDefault="00C53D6E" w:rsidP="00BC3B84">
            <w:pPr>
              <w:jc w:val="right"/>
              <w:rPr>
                <w:rFonts w:cs="Arial"/>
                <w:color w:val="000000"/>
                <w:lang w:eastAsia="en-AU"/>
              </w:rPr>
            </w:pPr>
            <w:r w:rsidRPr="00C53D6E">
              <w:rPr>
                <w:rFonts w:cs="Arial"/>
                <w:color w:val="000000"/>
                <w:lang w:eastAsia="en-AU"/>
              </w:rPr>
              <w:t>31.2%</w:t>
            </w:r>
          </w:p>
        </w:tc>
      </w:tr>
      <w:tr w:rsidR="00C53D6E" w:rsidTr="004D0908">
        <w:tc>
          <w:tcPr>
            <w:tcW w:w="3526" w:type="dxa"/>
            <w:tcBorders>
              <w:top w:val="nil"/>
              <w:bottom w:val="nil"/>
              <w:right w:val="nil"/>
            </w:tcBorders>
            <w:vAlign w:val="center"/>
          </w:tcPr>
          <w:p w:rsidR="00C53D6E" w:rsidRDefault="00C53D6E" w:rsidP="00C53D6E">
            <w:pPr>
              <w:rPr>
                <w:lang w:val="en-US"/>
              </w:rPr>
            </w:pPr>
            <w:r>
              <w:rPr>
                <w:lang w:val="en-US"/>
              </w:rPr>
              <w:t>Commercial Land</w:t>
            </w:r>
          </w:p>
        </w:tc>
        <w:tc>
          <w:tcPr>
            <w:tcW w:w="2023"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2,066</w:t>
            </w:r>
          </w:p>
        </w:tc>
        <w:tc>
          <w:tcPr>
            <w:tcW w:w="1868"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2,409,985,000</w:t>
            </w:r>
          </w:p>
        </w:tc>
        <w:tc>
          <w:tcPr>
            <w:tcW w:w="1868"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2,603,708,888</w:t>
            </w:r>
          </w:p>
        </w:tc>
        <w:tc>
          <w:tcPr>
            <w:tcW w:w="1289" w:type="dxa"/>
            <w:tcBorders>
              <w:top w:val="nil"/>
              <w:left w:val="nil"/>
              <w:bottom w:val="nil"/>
            </w:tcBorders>
            <w:vAlign w:val="bottom"/>
          </w:tcPr>
          <w:p w:rsidR="00C53D6E" w:rsidRPr="00C53D6E" w:rsidRDefault="00C53D6E" w:rsidP="00BC3B84">
            <w:pPr>
              <w:jc w:val="right"/>
              <w:rPr>
                <w:rFonts w:cs="Arial"/>
                <w:color w:val="000000"/>
                <w:lang w:eastAsia="en-AU"/>
              </w:rPr>
            </w:pPr>
            <w:r w:rsidRPr="00C53D6E">
              <w:rPr>
                <w:rFonts w:cs="Arial"/>
                <w:color w:val="000000"/>
                <w:lang w:eastAsia="en-AU"/>
              </w:rPr>
              <w:t>8.0%</w:t>
            </w:r>
          </w:p>
        </w:tc>
      </w:tr>
      <w:tr w:rsidR="00C53D6E" w:rsidTr="004D0908">
        <w:tc>
          <w:tcPr>
            <w:tcW w:w="3526" w:type="dxa"/>
            <w:tcBorders>
              <w:top w:val="nil"/>
              <w:bottom w:val="nil"/>
              <w:right w:val="nil"/>
            </w:tcBorders>
            <w:vAlign w:val="center"/>
          </w:tcPr>
          <w:p w:rsidR="00C53D6E" w:rsidRDefault="00C53D6E" w:rsidP="00C53D6E">
            <w:pPr>
              <w:rPr>
                <w:lang w:val="en-US"/>
              </w:rPr>
            </w:pPr>
            <w:r>
              <w:rPr>
                <w:lang w:val="en-US"/>
              </w:rPr>
              <w:t>Industrial Land</w:t>
            </w:r>
          </w:p>
        </w:tc>
        <w:tc>
          <w:tcPr>
            <w:tcW w:w="2023"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1,855</w:t>
            </w:r>
          </w:p>
        </w:tc>
        <w:tc>
          <w:tcPr>
            <w:tcW w:w="1868"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1,356,699,500</w:t>
            </w:r>
          </w:p>
        </w:tc>
        <w:tc>
          <w:tcPr>
            <w:tcW w:w="1868"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1,478,772,372</w:t>
            </w:r>
          </w:p>
        </w:tc>
        <w:tc>
          <w:tcPr>
            <w:tcW w:w="1289" w:type="dxa"/>
            <w:tcBorders>
              <w:top w:val="nil"/>
              <w:left w:val="nil"/>
              <w:bottom w:val="nil"/>
            </w:tcBorders>
            <w:vAlign w:val="bottom"/>
          </w:tcPr>
          <w:p w:rsidR="00C53D6E" w:rsidRPr="00C53D6E" w:rsidRDefault="00C53D6E" w:rsidP="00BC3B84">
            <w:pPr>
              <w:jc w:val="right"/>
              <w:rPr>
                <w:rFonts w:cs="Arial"/>
                <w:color w:val="000000"/>
                <w:lang w:eastAsia="en-AU"/>
              </w:rPr>
            </w:pPr>
            <w:r w:rsidRPr="00C53D6E">
              <w:rPr>
                <w:rFonts w:cs="Arial"/>
                <w:color w:val="000000"/>
                <w:lang w:eastAsia="en-AU"/>
              </w:rPr>
              <w:t>9.0%</w:t>
            </w:r>
          </w:p>
        </w:tc>
      </w:tr>
      <w:tr w:rsidR="00C53D6E" w:rsidTr="004D0908">
        <w:tc>
          <w:tcPr>
            <w:tcW w:w="3526" w:type="dxa"/>
            <w:tcBorders>
              <w:top w:val="nil"/>
              <w:bottom w:val="nil"/>
              <w:right w:val="nil"/>
            </w:tcBorders>
            <w:vAlign w:val="center"/>
          </w:tcPr>
          <w:p w:rsidR="00C53D6E" w:rsidRDefault="00C53D6E" w:rsidP="00C53D6E">
            <w:pPr>
              <w:rPr>
                <w:lang w:val="en-US"/>
              </w:rPr>
            </w:pPr>
            <w:r>
              <w:rPr>
                <w:lang w:val="en-US"/>
              </w:rPr>
              <w:t>Vacant Land</w:t>
            </w:r>
          </w:p>
        </w:tc>
        <w:tc>
          <w:tcPr>
            <w:tcW w:w="2023"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339</w:t>
            </w:r>
          </w:p>
        </w:tc>
        <w:tc>
          <w:tcPr>
            <w:tcW w:w="1868"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188,330,000</w:t>
            </w:r>
          </w:p>
        </w:tc>
        <w:tc>
          <w:tcPr>
            <w:tcW w:w="1868" w:type="dxa"/>
            <w:tcBorders>
              <w:top w:val="nil"/>
              <w:left w:val="nil"/>
              <w:bottom w:val="nil"/>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247,416,444</w:t>
            </w:r>
          </w:p>
        </w:tc>
        <w:tc>
          <w:tcPr>
            <w:tcW w:w="1289" w:type="dxa"/>
            <w:tcBorders>
              <w:top w:val="nil"/>
              <w:left w:val="nil"/>
              <w:bottom w:val="nil"/>
            </w:tcBorders>
            <w:vAlign w:val="bottom"/>
          </w:tcPr>
          <w:p w:rsidR="00C53D6E" w:rsidRPr="00C53D6E" w:rsidRDefault="00C53D6E" w:rsidP="00BC3B84">
            <w:pPr>
              <w:jc w:val="right"/>
              <w:rPr>
                <w:rFonts w:cs="Arial"/>
                <w:color w:val="000000"/>
                <w:lang w:eastAsia="en-AU"/>
              </w:rPr>
            </w:pPr>
            <w:r w:rsidRPr="00C53D6E">
              <w:rPr>
                <w:rFonts w:cs="Arial"/>
                <w:color w:val="000000"/>
                <w:lang w:eastAsia="en-AU"/>
              </w:rPr>
              <w:t>31.4%</w:t>
            </w:r>
          </w:p>
        </w:tc>
      </w:tr>
      <w:tr w:rsidR="00C53D6E" w:rsidTr="004D0908">
        <w:tc>
          <w:tcPr>
            <w:tcW w:w="3526" w:type="dxa"/>
            <w:tcBorders>
              <w:top w:val="nil"/>
              <w:bottom w:val="single" w:sz="8" w:space="0" w:color="auto"/>
              <w:right w:val="nil"/>
            </w:tcBorders>
            <w:vAlign w:val="center"/>
          </w:tcPr>
          <w:p w:rsidR="00C53D6E" w:rsidRDefault="00C53D6E" w:rsidP="00C53D6E">
            <w:pPr>
              <w:rPr>
                <w:lang w:val="en-US"/>
              </w:rPr>
            </w:pPr>
            <w:r>
              <w:rPr>
                <w:lang w:val="en-US"/>
              </w:rPr>
              <w:t>Cultural &amp; Recreational Land</w:t>
            </w:r>
          </w:p>
        </w:tc>
        <w:tc>
          <w:tcPr>
            <w:tcW w:w="2023" w:type="dxa"/>
            <w:tcBorders>
              <w:top w:val="nil"/>
              <w:left w:val="nil"/>
              <w:bottom w:val="single" w:sz="8" w:space="0" w:color="auto"/>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3</w:t>
            </w:r>
          </w:p>
        </w:tc>
        <w:tc>
          <w:tcPr>
            <w:tcW w:w="1868" w:type="dxa"/>
            <w:tcBorders>
              <w:top w:val="nil"/>
              <w:left w:val="nil"/>
              <w:bottom w:val="single" w:sz="8" w:space="0" w:color="auto"/>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13,100,000</w:t>
            </w:r>
          </w:p>
        </w:tc>
        <w:tc>
          <w:tcPr>
            <w:tcW w:w="1868" w:type="dxa"/>
            <w:tcBorders>
              <w:top w:val="nil"/>
              <w:left w:val="nil"/>
              <w:bottom w:val="single" w:sz="8" w:space="0" w:color="auto"/>
              <w:right w:val="nil"/>
            </w:tcBorders>
            <w:vAlign w:val="bottom"/>
          </w:tcPr>
          <w:p w:rsidR="00C53D6E" w:rsidRPr="00C53D6E" w:rsidRDefault="00C53D6E" w:rsidP="00C53D6E">
            <w:pPr>
              <w:jc w:val="right"/>
              <w:rPr>
                <w:rFonts w:cs="Arial"/>
                <w:color w:val="000000"/>
                <w:lang w:eastAsia="en-AU"/>
              </w:rPr>
            </w:pPr>
            <w:r w:rsidRPr="00C53D6E">
              <w:rPr>
                <w:rFonts w:cs="Arial"/>
                <w:color w:val="000000"/>
                <w:lang w:eastAsia="en-AU"/>
              </w:rPr>
              <w:t>14,710,000</w:t>
            </w:r>
          </w:p>
        </w:tc>
        <w:tc>
          <w:tcPr>
            <w:tcW w:w="1289" w:type="dxa"/>
            <w:tcBorders>
              <w:top w:val="nil"/>
              <w:left w:val="nil"/>
              <w:bottom w:val="single" w:sz="8" w:space="0" w:color="auto"/>
            </w:tcBorders>
            <w:vAlign w:val="bottom"/>
          </w:tcPr>
          <w:p w:rsidR="00C53D6E" w:rsidRPr="00C53D6E" w:rsidRDefault="00C53D6E" w:rsidP="00BC3B84">
            <w:pPr>
              <w:jc w:val="right"/>
              <w:rPr>
                <w:rFonts w:cs="Arial"/>
                <w:color w:val="000000"/>
                <w:lang w:eastAsia="en-AU"/>
              </w:rPr>
            </w:pPr>
            <w:r w:rsidRPr="00C53D6E">
              <w:rPr>
                <w:rFonts w:cs="Arial"/>
                <w:color w:val="000000"/>
                <w:lang w:eastAsia="en-AU"/>
              </w:rPr>
              <w:t>12.3%</w:t>
            </w:r>
          </w:p>
        </w:tc>
      </w:tr>
      <w:tr w:rsidR="00C53D6E" w:rsidTr="004D0908">
        <w:tc>
          <w:tcPr>
            <w:tcW w:w="3526" w:type="dxa"/>
            <w:tcBorders>
              <w:top w:val="single" w:sz="8" w:space="0" w:color="auto"/>
              <w:bottom w:val="single" w:sz="12" w:space="0" w:color="auto"/>
              <w:right w:val="nil"/>
            </w:tcBorders>
            <w:vAlign w:val="center"/>
          </w:tcPr>
          <w:p w:rsidR="00C53D6E" w:rsidRPr="00435D91" w:rsidRDefault="00C53D6E" w:rsidP="00C53D6E">
            <w:pPr>
              <w:jc w:val="right"/>
              <w:rPr>
                <w:b/>
                <w:lang w:val="en-US"/>
              </w:rPr>
            </w:pPr>
            <w:r w:rsidRPr="00435D91">
              <w:rPr>
                <w:b/>
                <w:lang w:val="en-US"/>
              </w:rPr>
              <w:t>Total</w:t>
            </w:r>
          </w:p>
        </w:tc>
        <w:tc>
          <w:tcPr>
            <w:tcW w:w="2023" w:type="dxa"/>
            <w:tcBorders>
              <w:top w:val="single" w:sz="8" w:space="0" w:color="auto"/>
              <w:left w:val="nil"/>
              <w:bottom w:val="single" w:sz="12" w:space="0" w:color="auto"/>
              <w:right w:val="nil"/>
            </w:tcBorders>
            <w:vAlign w:val="bottom"/>
          </w:tcPr>
          <w:p w:rsidR="00C53D6E" w:rsidRPr="00C53D6E" w:rsidRDefault="00C53D6E" w:rsidP="00C53D6E">
            <w:pPr>
              <w:jc w:val="right"/>
              <w:rPr>
                <w:rFonts w:cs="Arial"/>
                <w:b/>
                <w:bCs/>
                <w:color w:val="000000"/>
                <w:lang w:eastAsia="en-AU"/>
              </w:rPr>
            </w:pPr>
            <w:r w:rsidRPr="00C53D6E">
              <w:rPr>
                <w:rFonts w:cs="Arial"/>
                <w:b/>
                <w:bCs/>
                <w:color w:val="000000"/>
                <w:lang w:eastAsia="en-AU"/>
              </w:rPr>
              <w:t>48,783</w:t>
            </w:r>
          </w:p>
        </w:tc>
        <w:tc>
          <w:tcPr>
            <w:tcW w:w="1868" w:type="dxa"/>
            <w:tcBorders>
              <w:top w:val="single" w:sz="8" w:space="0" w:color="auto"/>
              <w:left w:val="nil"/>
              <w:bottom w:val="single" w:sz="12" w:space="0" w:color="auto"/>
              <w:right w:val="nil"/>
            </w:tcBorders>
            <w:vAlign w:val="bottom"/>
          </w:tcPr>
          <w:p w:rsidR="00C53D6E" w:rsidRPr="00C53D6E" w:rsidRDefault="00C53D6E" w:rsidP="00C53D6E">
            <w:pPr>
              <w:jc w:val="right"/>
              <w:rPr>
                <w:rFonts w:cs="Arial"/>
                <w:b/>
                <w:bCs/>
                <w:color w:val="000000"/>
                <w:lang w:eastAsia="en-AU"/>
              </w:rPr>
            </w:pPr>
            <w:r w:rsidRPr="00C53D6E">
              <w:rPr>
                <w:rFonts w:cs="Arial"/>
                <w:b/>
                <w:bCs/>
                <w:color w:val="000000"/>
                <w:lang w:eastAsia="en-AU"/>
              </w:rPr>
              <w:t>$24,785,790,500</w:t>
            </w:r>
          </w:p>
        </w:tc>
        <w:tc>
          <w:tcPr>
            <w:tcW w:w="1868" w:type="dxa"/>
            <w:tcBorders>
              <w:top w:val="single" w:sz="8" w:space="0" w:color="auto"/>
              <w:left w:val="nil"/>
              <w:bottom w:val="single" w:sz="12" w:space="0" w:color="auto"/>
              <w:right w:val="nil"/>
            </w:tcBorders>
            <w:vAlign w:val="bottom"/>
          </w:tcPr>
          <w:p w:rsidR="00C53D6E" w:rsidRPr="00C53D6E" w:rsidRDefault="00C53D6E" w:rsidP="00C53D6E">
            <w:pPr>
              <w:jc w:val="right"/>
              <w:rPr>
                <w:rFonts w:cs="Arial"/>
                <w:b/>
                <w:bCs/>
                <w:color w:val="000000"/>
                <w:lang w:eastAsia="en-AU"/>
              </w:rPr>
            </w:pPr>
            <w:r w:rsidRPr="00C53D6E">
              <w:rPr>
                <w:rFonts w:cs="Arial"/>
                <w:b/>
                <w:bCs/>
                <w:color w:val="000000"/>
                <w:lang w:eastAsia="en-AU"/>
              </w:rPr>
              <w:t>$31,666,822,291</w:t>
            </w:r>
          </w:p>
        </w:tc>
        <w:tc>
          <w:tcPr>
            <w:tcW w:w="1289" w:type="dxa"/>
            <w:tcBorders>
              <w:top w:val="single" w:sz="8" w:space="0" w:color="auto"/>
              <w:left w:val="nil"/>
              <w:bottom w:val="single" w:sz="12" w:space="0" w:color="auto"/>
            </w:tcBorders>
            <w:vAlign w:val="bottom"/>
          </w:tcPr>
          <w:p w:rsidR="00C53D6E" w:rsidRPr="00C53D6E" w:rsidRDefault="00C53D6E" w:rsidP="00BC3B84">
            <w:pPr>
              <w:jc w:val="right"/>
              <w:rPr>
                <w:rFonts w:cs="Arial"/>
                <w:b/>
                <w:bCs/>
                <w:color w:val="000000"/>
                <w:lang w:eastAsia="en-AU"/>
              </w:rPr>
            </w:pPr>
            <w:r w:rsidRPr="00C53D6E">
              <w:rPr>
                <w:rFonts w:cs="Arial"/>
                <w:b/>
                <w:bCs/>
                <w:color w:val="000000"/>
                <w:lang w:eastAsia="en-AU"/>
              </w:rPr>
              <w:t>27.8%</w:t>
            </w:r>
          </w:p>
        </w:tc>
      </w:tr>
    </w:tbl>
    <w:p w:rsidR="004D2436" w:rsidRDefault="004D2436" w:rsidP="004D2436">
      <w:pPr>
        <w:rPr>
          <w:lang w:val="en-US"/>
        </w:rPr>
      </w:pPr>
    </w:p>
    <w:p w:rsidR="004D2436" w:rsidRDefault="004D2436" w:rsidP="004D0908">
      <w:pPr>
        <w:jc w:val="both"/>
        <w:rPr>
          <w:rFonts w:cs="Arial"/>
          <w:color w:val="000000"/>
          <w:lang w:eastAsia="en-AU"/>
        </w:rPr>
      </w:pPr>
      <w:r>
        <w:rPr>
          <w:lang w:val="en-US"/>
        </w:rPr>
        <w:t>During the 2015/2016 year, a revaluation of all properties within the municipality was carried out</w:t>
      </w:r>
      <w:r w:rsidR="004C69F7">
        <w:rPr>
          <w:lang w:val="en-US"/>
        </w:rPr>
        <w:t>.</w:t>
      </w:r>
      <w:r>
        <w:rPr>
          <w:lang w:val="en-US"/>
        </w:rPr>
        <w:t xml:space="preserve">  The outcome of the general revaluation has </w:t>
      </w:r>
      <w:r w:rsidR="007E36BF">
        <w:rPr>
          <w:lang w:val="en-US"/>
        </w:rPr>
        <w:t>s</w:t>
      </w:r>
      <w:r>
        <w:rPr>
          <w:lang w:val="en-US"/>
        </w:rPr>
        <w:t xml:space="preserve">een a significant change in property valuations throughout the municipality.  Overall, property valuations across the municipality have increased by </w:t>
      </w:r>
      <w:r w:rsidR="007E36BF">
        <w:rPr>
          <w:lang w:val="en-US"/>
        </w:rPr>
        <w:t>27.8</w:t>
      </w:r>
      <w:r w:rsidR="004C69F7" w:rsidRPr="004C69F7">
        <w:rPr>
          <w:lang w:val="en-US"/>
        </w:rPr>
        <w:t>%</w:t>
      </w:r>
      <w:r>
        <w:rPr>
          <w:lang w:val="en-US"/>
        </w:rPr>
        <w:t xml:space="preserve">.  Of this increase, residential properties have increased by </w:t>
      </w:r>
      <w:r w:rsidR="00C53D6E" w:rsidRPr="00C53D6E">
        <w:rPr>
          <w:rFonts w:cs="Arial"/>
          <w:color w:val="000000"/>
          <w:lang w:eastAsia="en-AU"/>
        </w:rPr>
        <w:t>31.2%</w:t>
      </w:r>
      <w:r w:rsidR="00C53D6E">
        <w:rPr>
          <w:rFonts w:cs="Arial"/>
          <w:color w:val="000000"/>
          <w:lang w:eastAsia="en-AU"/>
        </w:rPr>
        <w:t xml:space="preserve"> </w:t>
      </w:r>
      <w:r>
        <w:rPr>
          <w:lang w:val="en-US"/>
        </w:rPr>
        <w:t xml:space="preserve">commercial properties by </w:t>
      </w:r>
      <w:r w:rsidR="00C53D6E" w:rsidRPr="00C53D6E">
        <w:rPr>
          <w:rFonts w:cs="Arial"/>
          <w:color w:val="000000"/>
          <w:lang w:eastAsia="en-AU"/>
        </w:rPr>
        <w:t>8.0%</w:t>
      </w:r>
      <w:r w:rsidR="00C53D6E">
        <w:rPr>
          <w:lang w:val="en-US"/>
        </w:rPr>
        <w:t xml:space="preserve"> </w:t>
      </w:r>
      <w:r>
        <w:rPr>
          <w:lang w:val="en-US"/>
        </w:rPr>
        <w:t xml:space="preserve">and industrial properties by </w:t>
      </w:r>
      <w:r w:rsidR="00C53D6E" w:rsidRPr="00C53D6E">
        <w:rPr>
          <w:rFonts w:cs="Arial"/>
          <w:color w:val="000000"/>
          <w:lang w:eastAsia="en-AU"/>
        </w:rPr>
        <w:t>9.0%</w:t>
      </w:r>
    </w:p>
    <w:p w:rsidR="00CE0EDC" w:rsidRDefault="00CE0EDC" w:rsidP="004D0908">
      <w:pPr>
        <w:pStyle w:val="NoSpacing"/>
        <w:jc w:val="both"/>
        <w:rPr>
          <w:lang w:val="en-US"/>
        </w:rPr>
      </w:pPr>
    </w:p>
    <w:p w:rsidR="004D2436" w:rsidRDefault="005A3E3A" w:rsidP="004D0908">
      <w:pPr>
        <w:jc w:val="both"/>
        <w:rPr>
          <w:lang w:val="en-US"/>
        </w:rPr>
      </w:pPr>
      <w:r>
        <w:rPr>
          <w:lang w:val="en-US"/>
        </w:rPr>
        <w:t>The shift in the Rating Base and Capital Improved Valuation movements by Suburbs is seen below</w:t>
      </w:r>
    </w:p>
    <w:p w:rsidR="00AD5DCC" w:rsidRDefault="00AD5DCC" w:rsidP="004D2436">
      <w:pPr>
        <w:rPr>
          <w:lang w:val="en-US"/>
        </w:rPr>
      </w:pPr>
    </w:p>
    <w:tbl>
      <w:tblPr>
        <w:tblStyle w:val="TableGrid"/>
        <w:tblW w:w="0" w:type="auto"/>
        <w:tblInd w:w="108" w:type="dxa"/>
        <w:tblLook w:val="04A0" w:firstRow="1" w:lastRow="0" w:firstColumn="1" w:lastColumn="0" w:noHBand="0" w:noVBand="1"/>
      </w:tblPr>
      <w:tblGrid>
        <w:gridCol w:w="3002"/>
        <w:gridCol w:w="2223"/>
        <w:gridCol w:w="1737"/>
        <w:gridCol w:w="1737"/>
        <w:gridCol w:w="1649"/>
      </w:tblGrid>
      <w:tr w:rsidR="005A3E3A" w:rsidTr="004D0908">
        <w:tc>
          <w:tcPr>
            <w:tcW w:w="3119" w:type="dxa"/>
            <w:tcBorders>
              <w:right w:val="nil"/>
            </w:tcBorders>
            <w:shd w:val="clear" w:color="auto" w:fill="365F91" w:themeFill="accent1" w:themeFillShade="BF"/>
            <w:vAlign w:val="center"/>
          </w:tcPr>
          <w:p w:rsidR="005A3E3A" w:rsidRPr="00C53D6E" w:rsidRDefault="005A3E3A" w:rsidP="00E27A90">
            <w:pPr>
              <w:rPr>
                <w:b/>
                <w:color w:val="FFFFFF" w:themeColor="background1"/>
                <w:lang w:val="en-US"/>
              </w:rPr>
            </w:pPr>
            <w:r w:rsidRPr="00C53D6E">
              <w:rPr>
                <w:b/>
                <w:color w:val="FFFFFF" w:themeColor="background1"/>
                <w:lang w:val="en-US"/>
              </w:rPr>
              <w:t>Suburb</w:t>
            </w:r>
          </w:p>
        </w:tc>
        <w:tc>
          <w:tcPr>
            <w:tcW w:w="2265" w:type="dxa"/>
            <w:tcBorders>
              <w:left w:val="nil"/>
              <w:right w:val="nil"/>
            </w:tcBorders>
            <w:shd w:val="clear" w:color="auto" w:fill="365F91" w:themeFill="accent1" w:themeFillShade="BF"/>
            <w:vAlign w:val="center"/>
          </w:tcPr>
          <w:p w:rsidR="005A3E3A" w:rsidRPr="00C53D6E" w:rsidRDefault="005A3E3A" w:rsidP="005A3E3A">
            <w:pPr>
              <w:jc w:val="right"/>
              <w:rPr>
                <w:b/>
                <w:color w:val="FFFFFF" w:themeColor="background1"/>
                <w:lang w:val="en-US"/>
              </w:rPr>
            </w:pPr>
            <w:r>
              <w:rPr>
                <w:b/>
                <w:color w:val="FFFFFF" w:themeColor="background1"/>
                <w:lang w:val="en-US"/>
              </w:rPr>
              <w:t xml:space="preserve"># </w:t>
            </w:r>
            <w:r w:rsidR="009A12D7">
              <w:rPr>
                <w:b/>
                <w:color w:val="FFFFFF" w:themeColor="background1"/>
                <w:lang w:val="en-US"/>
              </w:rPr>
              <w:t>of Assess</w:t>
            </w:r>
            <w:r>
              <w:rPr>
                <w:b/>
                <w:color w:val="FFFFFF" w:themeColor="background1"/>
                <w:lang w:val="en-US"/>
              </w:rPr>
              <w:t>ments</w:t>
            </w:r>
          </w:p>
        </w:tc>
        <w:tc>
          <w:tcPr>
            <w:tcW w:w="1746" w:type="dxa"/>
            <w:tcBorders>
              <w:left w:val="nil"/>
              <w:right w:val="nil"/>
            </w:tcBorders>
            <w:shd w:val="clear" w:color="auto" w:fill="365F91" w:themeFill="accent1" w:themeFillShade="BF"/>
            <w:vAlign w:val="center"/>
          </w:tcPr>
          <w:p w:rsidR="005A3E3A" w:rsidRPr="00C53D6E" w:rsidRDefault="005A3E3A" w:rsidP="005A3E3A">
            <w:pPr>
              <w:jc w:val="right"/>
              <w:rPr>
                <w:b/>
                <w:color w:val="FFFFFF" w:themeColor="background1"/>
                <w:lang w:val="en-US"/>
              </w:rPr>
            </w:pPr>
            <w:r w:rsidRPr="005A3E3A">
              <w:rPr>
                <w:b/>
                <w:color w:val="FFFFFF" w:themeColor="background1"/>
                <w:lang w:val="en-US"/>
              </w:rPr>
              <w:t>Total 2014 CIV</w:t>
            </w:r>
          </w:p>
        </w:tc>
        <w:tc>
          <w:tcPr>
            <w:tcW w:w="1746" w:type="dxa"/>
            <w:tcBorders>
              <w:left w:val="nil"/>
              <w:right w:val="nil"/>
            </w:tcBorders>
            <w:shd w:val="clear" w:color="auto" w:fill="365F91" w:themeFill="accent1" w:themeFillShade="BF"/>
            <w:vAlign w:val="center"/>
          </w:tcPr>
          <w:p w:rsidR="005A3E3A" w:rsidRPr="00C53D6E" w:rsidRDefault="005A3E3A" w:rsidP="005A3E3A">
            <w:pPr>
              <w:jc w:val="right"/>
              <w:rPr>
                <w:b/>
                <w:color w:val="FFFFFF" w:themeColor="background1"/>
                <w:lang w:val="en-US"/>
              </w:rPr>
            </w:pPr>
            <w:r w:rsidRPr="005A3E3A">
              <w:rPr>
                <w:b/>
                <w:color w:val="FFFFFF" w:themeColor="background1"/>
                <w:lang w:val="en-US"/>
              </w:rPr>
              <w:t>Total 2016 CIV</w:t>
            </w:r>
          </w:p>
        </w:tc>
        <w:tc>
          <w:tcPr>
            <w:tcW w:w="1698" w:type="dxa"/>
            <w:tcBorders>
              <w:left w:val="nil"/>
            </w:tcBorders>
            <w:shd w:val="clear" w:color="auto" w:fill="365F91" w:themeFill="accent1" w:themeFillShade="BF"/>
            <w:vAlign w:val="center"/>
          </w:tcPr>
          <w:p w:rsidR="005A3E3A" w:rsidRPr="00C53D6E" w:rsidRDefault="005A3E3A" w:rsidP="005A3E3A">
            <w:pPr>
              <w:jc w:val="right"/>
              <w:rPr>
                <w:b/>
                <w:color w:val="FFFFFF" w:themeColor="background1"/>
                <w:lang w:val="en-US"/>
              </w:rPr>
            </w:pPr>
            <w:r w:rsidRPr="00C53D6E">
              <w:rPr>
                <w:b/>
                <w:color w:val="FFFFFF" w:themeColor="background1"/>
                <w:lang w:val="en-US"/>
              </w:rPr>
              <w:t>% growth</w:t>
            </w:r>
          </w:p>
        </w:tc>
      </w:tr>
      <w:tr w:rsidR="005A3E3A" w:rsidTr="004D0908">
        <w:tc>
          <w:tcPr>
            <w:tcW w:w="3119" w:type="dxa"/>
            <w:tcBorders>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Bayswater North</w:t>
            </w:r>
          </w:p>
        </w:tc>
        <w:tc>
          <w:tcPr>
            <w:tcW w:w="2265" w:type="dxa"/>
            <w:tcBorders>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4,506</w:t>
            </w:r>
          </w:p>
        </w:tc>
        <w:tc>
          <w:tcPr>
            <w:tcW w:w="1746" w:type="dxa"/>
            <w:tcBorders>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2,179,785,000 </w:t>
            </w:r>
          </w:p>
        </w:tc>
        <w:tc>
          <w:tcPr>
            <w:tcW w:w="1746" w:type="dxa"/>
            <w:tcBorders>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2,617,678,215 </w:t>
            </w:r>
          </w:p>
        </w:tc>
        <w:tc>
          <w:tcPr>
            <w:tcW w:w="1698" w:type="dxa"/>
            <w:tcBorders>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20.1%</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Croydon</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12,553</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5,441,127,000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6,889,727,883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26.6%</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Croydon Hills</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1,699</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883,129,500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1,146,951,165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29.9%</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Croydon North</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3,052</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1,496,584,000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1,848,383,441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23.5%</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Croydon South</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1,982</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976,395,000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1,236,860,160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26.7%</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Heathmont</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3,877</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1,952,210,000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2,685,225,000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37.5%</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Kilsyth</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857</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377,140,500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467,216,277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23.9%</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Kilsyth South</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1,190</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700,861,500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829,929,770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18.4%</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Park Orchards</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19</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23,330,000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29,500,000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26.4%</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Ringwood</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9,119</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5,422,128,000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6,831,862,776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26.0%</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Ringwood East</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4,481</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2,127,401,000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2,908,788,000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36.7%</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Ringwood North</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3,568</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2,097,536,000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2,747,743,441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31.0%</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Vermont</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159</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83,485,000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110,635,000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32.5%</w:t>
            </w:r>
          </w:p>
        </w:tc>
      </w:tr>
      <w:tr w:rsidR="005A3E3A" w:rsidTr="004D0908">
        <w:tc>
          <w:tcPr>
            <w:tcW w:w="3119" w:type="dxa"/>
            <w:tcBorders>
              <w:top w:val="nil"/>
              <w:bottom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Warranwood</w:t>
            </w:r>
          </w:p>
        </w:tc>
        <w:tc>
          <w:tcPr>
            <w:tcW w:w="2265" w:type="dxa"/>
            <w:tcBorders>
              <w:top w:val="nil"/>
              <w:left w:val="nil"/>
              <w:bottom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1,615</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962,952,500 </w:t>
            </w:r>
          </w:p>
        </w:tc>
        <w:tc>
          <w:tcPr>
            <w:tcW w:w="1746" w:type="dxa"/>
            <w:tcBorders>
              <w:top w:val="nil"/>
              <w:left w:val="nil"/>
              <w:bottom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1,238,309,775 </w:t>
            </w:r>
          </w:p>
        </w:tc>
        <w:tc>
          <w:tcPr>
            <w:tcW w:w="1698" w:type="dxa"/>
            <w:tcBorders>
              <w:top w:val="nil"/>
              <w:left w:val="nil"/>
              <w:bottom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28.6%</w:t>
            </w:r>
          </w:p>
        </w:tc>
      </w:tr>
      <w:tr w:rsidR="005A3E3A" w:rsidTr="004D0908">
        <w:tc>
          <w:tcPr>
            <w:tcW w:w="3119" w:type="dxa"/>
            <w:tcBorders>
              <w:top w:val="nil"/>
              <w:right w:val="nil"/>
            </w:tcBorders>
            <w:vAlign w:val="center"/>
          </w:tcPr>
          <w:p w:rsidR="005A3E3A" w:rsidRPr="009A5738" w:rsidRDefault="005A3E3A" w:rsidP="00E27A90">
            <w:pPr>
              <w:rPr>
                <w:rFonts w:cs="Arial"/>
                <w:color w:val="000000"/>
                <w:sz w:val="20"/>
                <w:szCs w:val="20"/>
                <w:lang w:eastAsia="en-AU"/>
              </w:rPr>
            </w:pPr>
            <w:r w:rsidRPr="009A5738">
              <w:rPr>
                <w:rFonts w:cs="Arial"/>
                <w:color w:val="000000"/>
                <w:sz w:val="20"/>
                <w:szCs w:val="20"/>
                <w:lang w:eastAsia="en-AU"/>
              </w:rPr>
              <w:t>Wonga Park</w:t>
            </w:r>
          </w:p>
        </w:tc>
        <w:tc>
          <w:tcPr>
            <w:tcW w:w="2265" w:type="dxa"/>
            <w:tcBorders>
              <w:top w:val="nil"/>
              <w:left w:val="nil"/>
              <w:righ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104</w:t>
            </w:r>
          </w:p>
        </w:tc>
        <w:tc>
          <w:tcPr>
            <w:tcW w:w="1746" w:type="dxa"/>
            <w:tcBorders>
              <w:top w:val="nil"/>
              <w:left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61,725,500 </w:t>
            </w:r>
          </w:p>
        </w:tc>
        <w:tc>
          <w:tcPr>
            <w:tcW w:w="1746" w:type="dxa"/>
            <w:tcBorders>
              <w:top w:val="nil"/>
              <w:left w:val="nil"/>
              <w:right w:val="nil"/>
            </w:tcBorders>
            <w:vAlign w:val="center"/>
          </w:tcPr>
          <w:p w:rsidR="005A3E3A" w:rsidRPr="009A5738" w:rsidRDefault="00E27A90" w:rsidP="005A3E3A">
            <w:pPr>
              <w:jc w:val="right"/>
              <w:rPr>
                <w:rFonts w:cs="Arial"/>
                <w:color w:val="000000"/>
                <w:sz w:val="20"/>
                <w:szCs w:val="20"/>
                <w:lang w:eastAsia="en-AU"/>
              </w:rPr>
            </w:pPr>
            <w:r w:rsidRPr="009A5738">
              <w:rPr>
                <w:rFonts w:cs="Arial"/>
                <w:color w:val="000000"/>
                <w:sz w:val="20"/>
                <w:szCs w:val="20"/>
                <w:lang w:eastAsia="en-AU"/>
              </w:rPr>
              <w:t xml:space="preserve">       </w:t>
            </w:r>
            <w:r w:rsidR="005A3E3A" w:rsidRPr="009A5738">
              <w:rPr>
                <w:rFonts w:cs="Arial"/>
                <w:color w:val="000000"/>
                <w:sz w:val="20"/>
                <w:szCs w:val="20"/>
                <w:lang w:eastAsia="en-AU"/>
              </w:rPr>
              <w:t xml:space="preserve">78,011,388 </w:t>
            </w:r>
          </w:p>
        </w:tc>
        <w:tc>
          <w:tcPr>
            <w:tcW w:w="1698" w:type="dxa"/>
            <w:tcBorders>
              <w:top w:val="nil"/>
              <w:left w:val="nil"/>
            </w:tcBorders>
            <w:vAlign w:val="center"/>
          </w:tcPr>
          <w:p w:rsidR="005A3E3A" w:rsidRPr="009A5738" w:rsidRDefault="005A3E3A" w:rsidP="005A3E3A">
            <w:pPr>
              <w:jc w:val="right"/>
              <w:rPr>
                <w:rFonts w:cs="Arial"/>
                <w:color w:val="000000"/>
                <w:sz w:val="20"/>
                <w:szCs w:val="20"/>
                <w:lang w:eastAsia="en-AU"/>
              </w:rPr>
            </w:pPr>
            <w:r w:rsidRPr="009A5738">
              <w:rPr>
                <w:rFonts w:cs="Arial"/>
                <w:color w:val="000000"/>
                <w:sz w:val="20"/>
                <w:szCs w:val="20"/>
                <w:lang w:eastAsia="en-AU"/>
              </w:rPr>
              <w:t>26.4%</w:t>
            </w:r>
          </w:p>
        </w:tc>
      </w:tr>
      <w:tr w:rsidR="005A3E3A" w:rsidTr="004D0908">
        <w:tc>
          <w:tcPr>
            <w:tcW w:w="3119" w:type="dxa"/>
            <w:tcBorders>
              <w:bottom w:val="single" w:sz="12" w:space="0" w:color="auto"/>
              <w:right w:val="nil"/>
            </w:tcBorders>
            <w:vAlign w:val="center"/>
          </w:tcPr>
          <w:p w:rsidR="005A3E3A" w:rsidRPr="009A5738" w:rsidRDefault="005A3E3A" w:rsidP="00BC3B84">
            <w:pPr>
              <w:jc w:val="right"/>
              <w:rPr>
                <w:b/>
                <w:sz w:val="20"/>
                <w:szCs w:val="20"/>
                <w:lang w:val="en-US"/>
              </w:rPr>
            </w:pPr>
            <w:r w:rsidRPr="009A5738">
              <w:rPr>
                <w:b/>
                <w:sz w:val="20"/>
                <w:szCs w:val="20"/>
                <w:lang w:val="en-US"/>
              </w:rPr>
              <w:t>Total</w:t>
            </w:r>
          </w:p>
        </w:tc>
        <w:tc>
          <w:tcPr>
            <w:tcW w:w="2265" w:type="dxa"/>
            <w:tcBorders>
              <w:left w:val="nil"/>
              <w:bottom w:val="single" w:sz="12" w:space="0" w:color="auto"/>
            </w:tcBorders>
            <w:vAlign w:val="center"/>
          </w:tcPr>
          <w:p w:rsidR="005A3E3A" w:rsidRPr="009A5738" w:rsidRDefault="005A3E3A" w:rsidP="00BC3B84">
            <w:pPr>
              <w:jc w:val="right"/>
              <w:rPr>
                <w:b/>
                <w:sz w:val="20"/>
                <w:szCs w:val="20"/>
                <w:lang w:val="en-US"/>
              </w:rPr>
            </w:pPr>
            <w:r w:rsidRPr="009A5738">
              <w:rPr>
                <w:b/>
                <w:sz w:val="20"/>
                <w:szCs w:val="20"/>
                <w:lang w:val="en-US"/>
              </w:rPr>
              <w:t>48,781</w:t>
            </w:r>
          </w:p>
        </w:tc>
        <w:tc>
          <w:tcPr>
            <w:tcW w:w="1746" w:type="dxa"/>
            <w:tcBorders>
              <w:bottom w:val="single" w:sz="12" w:space="0" w:color="auto"/>
            </w:tcBorders>
            <w:vAlign w:val="center"/>
          </w:tcPr>
          <w:p w:rsidR="005A3E3A" w:rsidRPr="009A5738" w:rsidRDefault="005A3E3A" w:rsidP="00BC3B84">
            <w:pPr>
              <w:jc w:val="right"/>
              <w:rPr>
                <w:b/>
                <w:sz w:val="20"/>
                <w:szCs w:val="20"/>
                <w:lang w:val="en-US"/>
              </w:rPr>
            </w:pPr>
            <w:r w:rsidRPr="009A5738">
              <w:rPr>
                <w:b/>
                <w:sz w:val="20"/>
                <w:szCs w:val="20"/>
                <w:lang w:val="en-US"/>
              </w:rPr>
              <w:t xml:space="preserve">24,785,790,500 </w:t>
            </w:r>
          </w:p>
        </w:tc>
        <w:tc>
          <w:tcPr>
            <w:tcW w:w="1746" w:type="dxa"/>
            <w:tcBorders>
              <w:bottom w:val="single" w:sz="12" w:space="0" w:color="auto"/>
              <w:right w:val="nil"/>
            </w:tcBorders>
            <w:vAlign w:val="center"/>
          </w:tcPr>
          <w:p w:rsidR="005A3E3A" w:rsidRPr="009A5738" w:rsidRDefault="005A3E3A" w:rsidP="00BC3B84">
            <w:pPr>
              <w:jc w:val="right"/>
              <w:rPr>
                <w:b/>
                <w:sz w:val="20"/>
                <w:szCs w:val="20"/>
                <w:lang w:val="en-US"/>
              </w:rPr>
            </w:pPr>
            <w:r w:rsidRPr="009A5738">
              <w:rPr>
                <w:b/>
                <w:sz w:val="20"/>
                <w:szCs w:val="20"/>
                <w:lang w:val="en-US"/>
              </w:rPr>
              <w:t xml:space="preserve">31,666,822,291 </w:t>
            </w:r>
          </w:p>
        </w:tc>
        <w:tc>
          <w:tcPr>
            <w:tcW w:w="1698" w:type="dxa"/>
            <w:tcBorders>
              <w:left w:val="nil"/>
              <w:bottom w:val="single" w:sz="12" w:space="0" w:color="auto"/>
            </w:tcBorders>
            <w:vAlign w:val="center"/>
          </w:tcPr>
          <w:p w:rsidR="005A3E3A" w:rsidRPr="009A5738" w:rsidRDefault="005A3E3A" w:rsidP="00BC3B84">
            <w:pPr>
              <w:jc w:val="right"/>
              <w:rPr>
                <w:b/>
                <w:sz w:val="20"/>
                <w:szCs w:val="20"/>
                <w:lang w:val="en-US"/>
              </w:rPr>
            </w:pPr>
            <w:r w:rsidRPr="009A5738">
              <w:rPr>
                <w:b/>
                <w:sz w:val="20"/>
                <w:szCs w:val="20"/>
                <w:lang w:val="en-US"/>
              </w:rPr>
              <w:t>27.8%</w:t>
            </w:r>
          </w:p>
        </w:tc>
      </w:tr>
    </w:tbl>
    <w:p w:rsidR="004D2436" w:rsidRDefault="004D2436" w:rsidP="004D2436">
      <w:pPr>
        <w:rPr>
          <w:lang w:val="en-US"/>
        </w:rPr>
      </w:pPr>
    </w:p>
    <w:p w:rsidR="00E27A90" w:rsidRDefault="009A12D7" w:rsidP="004D0908">
      <w:pPr>
        <w:jc w:val="both"/>
        <w:rPr>
          <w:rFonts w:cs="Arial"/>
        </w:rPr>
      </w:pPr>
      <w:r>
        <w:rPr>
          <w:rFonts w:cs="Arial"/>
        </w:rPr>
        <w:t xml:space="preserve">2016 Revaluation </w:t>
      </w:r>
      <w:r w:rsidR="00E27A90" w:rsidRPr="009A12D7">
        <w:rPr>
          <w:rFonts w:cs="Arial"/>
        </w:rPr>
        <w:t>Capital Improved Valuation</w:t>
      </w:r>
      <w:r>
        <w:rPr>
          <w:rFonts w:cs="Arial"/>
        </w:rPr>
        <w:t xml:space="preserve"> movement by suburb for each property t</w:t>
      </w:r>
      <w:r w:rsidR="00E27A90" w:rsidRPr="009A12D7">
        <w:rPr>
          <w:rFonts w:cs="Arial"/>
        </w:rPr>
        <w:t>ype</w:t>
      </w:r>
      <w:r>
        <w:rPr>
          <w:rFonts w:cs="Arial"/>
        </w:rPr>
        <w:t xml:space="preserve"> is displayed in the table below.</w:t>
      </w:r>
    </w:p>
    <w:p w:rsidR="00AD5DCC" w:rsidRPr="004513E6" w:rsidRDefault="00AD5DCC" w:rsidP="004D2436">
      <w:pPr>
        <w:rPr>
          <w:rFonts w:cs="Arial"/>
        </w:rPr>
      </w:pPr>
    </w:p>
    <w:tbl>
      <w:tblPr>
        <w:tblStyle w:val="TableGrid"/>
        <w:tblW w:w="0" w:type="auto"/>
        <w:tblInd w:w="108" w:type="dxa"/>
        <w:tblLayout w:type="fixed"/>
        <w:tblLook w:val="04A0" w:firstRow="1" w:lastRow="0" w:firstColumn="1" w:lastColumn="0" w:noHBand="0" w:noVBand="1"/>
      </w:tblPr>
      <w:tblGrid>
        <w:gridCol w:w="3969"/>
        <w:gridCol w:w="1418"/>
        <w:gridCol w:w="1843"/>
        <w:gridCol w:w="1701"/>
        <w:gridCol w:w="1643"/>
      </w:tblGrid>
      <w:tr w:rsidR="00E27A90" w:rsidTr="007E36BF">
        <w:tc>
          <w:tcPr>
            <w:tcW w:w="3969" w:type="dxa"/>
            <w:tcBorders>
              <w:right w:val="nil"/>
            </w:tcBorders>
            <w:shd w:val="clear" w:color="auto" w:fill="365F91" w:themeFill="accent1" w:themeFillShade="BF"/>
            <w:vAlign w:val="center"/>
          </w:tcPr>
          <w:p w:rsidR="00E27A90" w:rsidRPr="009A12D7" w:rsidRDefault="00E27A90" w:rsidP="00E27A90">
            <w:pPr>
              <w:rPr>
                <w:rFonts w:cs="Arial"/>
                <w:b/>
                <w:bCs/>
                <w:color w:val="FFFFFF" w:themeColor="background1"/>
                <w:lang w:eastAsia="en-AU"/>
              </w:rPr>
            </w:pPr>
            <w:r w:rsidRPr="009A12D7">
              <w:rPr>
                <w:rFonts w:cs="Arial"/>
                <w:b/>
                <w:bCs/>
                <w:color w:val="FFFFFF" w:themeColor="background1"/>
                <w:lang w:eastAsia="en-AU"/>
              </w:rPr>
              <w:t>Suburb</w:t>
            </w:r>
          </w:p>
        </w:tc>
        <w:tc>
          <w:tcPr>
            <w:tcW w:w="1418" w:type="dxa"/>
            <w:tcBorders>
              <w:left w:val="nil"/>
              <w:right w:val="nil"/>
            </w:tcBorders>
            <w:shd w:val="clear" w:color="auto" w:fill="365F91" w:themeFill="accent1" w:themeFillShade="BF"/>
            <w:vAlign w:val="center"/>
          </w:tcPr>
          <w:p w:rsidR="00E27A90" w:rsidRPr="009A12D7" w:rsidRDefault="00E27A90" w:rsidP="009A12D7">
            <w:pPr>
              <w:jc w:val="right"/>
              <w:rPr>
                <w:b/>
                <w:color w:val="FFFFFF" w:themeColor="background1"/>
                <w:lang w:val="en-US"/>
              </w:rPr>
            </w:pPr>
            <w:r w:rsidRPr="009A12D7">
              <w:rPr>
                <w:b/>
                <w:color w:val="FFFFFF" w:themeColor="background1"/>
                <w:lang w:val="en-US"/>
              </w:rPr>
              <w:t>Residential</w:t>
            </w:r>
          </w:p>
        </w:tc>
        <w:tc>
          <w:tcPr>
            <w:tcW w:w="1843" w:type="dxa"/>
            <w:tcBorders>
              <w:left w:val="nil"/>
              <w:right w:val="nil"/>
            </w:tcBorders>
            <w:shd w:val="clear" w:color="auto" w:fill="365F91" w:themeFill="accent1" w:themeFillShade="BF"/>
            <w:vAlign w:val="center"/>
          </w:tcPr>
          <w:p w:rsidR="00E27A90" w:rsidRPr="009A12D7" w:rsidRDefault="00E27A90" w:rsidP="009A12D7">
            <w:pPr>
              <w:jc w:val="right"/>
              <w:rPr>
                <w:b/>
                <w:color w:val="FFFFFF" w:themeColor="background1"/>
                <w:lang w:val="en-US"/>
              </w:rPr>
            </w:pPr>
            <w:r w:rsidRPr="009A12D7">
              <w:rPr>
                <w:b/>
                <w:color w:val="FFFFFF" w:themeColor="background1"/>
                <w:lang w:val="en-US"/>
              </w:rPr>
              <w:t>Commercial</w:t>
            </w:r>
          </w:p>
        </w:tc>
        <w:tc>
          <w:tcPr>
            <w:tcW w:w="1701" w:type="dxa"/>
            <w:tcBorders>
              <w:left w:val="nil"/>
              <w:right w:val="nil"/>
            </w:tcBorders>
            <w:shd w:val="clear" w:color="auto" w:fill="365F91" w:themeFill="accent1" w:themeFillShade="BF"/>
            <w:vAlign w:val="center"/>
          </w:tcPr>
          <w:p w:rsidR="00E27A90" w:rsidRPr="009A12D7" w:rsidRDefault="00E27A90" w:rsidP="009A12D7">
            <w:pPr>
              <w:jc w:val="right"/>
              <w:rPr>
                <w:b/>
                <w:color w:val="FFFFFF" w:themeColor="background1"/>
                <w:lang w:val="en-US"/>
              </w:rPr>
            </w:pPr>
            <w:r w:rsidRPr="009A12D7">
              <w:rPr>
                <w:b/>
                <w:color w:val="FFFFFF" w:themeColor="background1"/>
                <w:lang w:val="en-US"/>
              </w:rPr>
              <w:t>Industrial</w:t>
            </w:r>
          </w:p>
        </w:tc>
        <w:tc>
          <w:tcPr>
            <w:tcW w:w="1643" w:type="dxa"/>
            <w:tcBorders>
              <w:left w:val="nil"/>
            </w:tcBorders>
            <w:shd w:val="clear" w:color="auto" w:fill="365F91" w:themeFill="accent1" w:themeFillShade="BF"/>
            <w:vAlign w:val="center"/>
          </w:tcPr>
          <w:p w:rsidR="00E27A90" w:rsidRPr="009A12D7" w:rsidRDefault="00E27A90" w:rsidP="009A12D7">
            <w:pPr>
              <w:jc w:val="right"/>
              <w:rPr>
                <w:b/>
                <w:color w:val="FFFFFF" w:themeColor="background1"/>
                <w:lang w:val="en-US"/>
              </w:rPr>
            </w:pPr>
            <w:r w:rsidRPr="009A12D7">
              <w:rPr>
                <w:b/>
                <w:color w:val="FFFFFF" w:themeColor="background1"/>
                <w:lang w:val="en-US"/>
              </w:rPr>
              <w:t>Vacant Land</w:t>
            </w:r>
          </w:p>
        </w:tc>
      </w:tr>
      <w:tr w:rsidR="009A12D7" w:rsidTr="007E36BF">
        <w:tc>
          <w:tcPr>
            <w:tcW w:w="3969" w:type="dxa"/>
            <w:tcBorders>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Bayswater North</w:t>
            </w:r>
          </w:p>
        </w:tc>
        <w:tc>
          <w:tcPr>
            <w:tcW w:w="1418" w:type="dxa"/>
            <w:tcBorders>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26.5%</w:t>
            </w:r>
          </w:p>
        </w:tc>
        <w:tc>
          <w:tcPr>
            <w:tcW w:w="1843" w:type="dxa"/>
            <w:tcBorders>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12.2%</w:t>
            </w:r>
          </w:p>
        </w:tc>
        <w:tc>
          <w:tcPr>
            <w:tcW w:w="1701" w:type="dxa"/>
            <w:tcBorders>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7.4%</w:t>
            </w:r>
          </w:p>
        </w:tc>
        <w:tc>
          <w:tcPr>
            <w:tcW w:w="1643" w:type="dxa"/>
            <w:tcBorders>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16.0%</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Croydon</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28.1%</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10.1%</w:t>
            </w:r>
          </w:p>
        </w:tc>
        <w:tc>
          <w:tcPr>
            <w:tcW w:w="1701"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8.4%</w:t>
            </w: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35.2%</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Croydon Hills</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29.9%</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34.4%</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Croydon North</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23.7%</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15.0%</w:t>
            </w: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31.7%</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Croydon South</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30.4%</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11.8%</w:t>
            </w: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r w:rsidRPr="009A5738">
              <w:rPr>
                <w:rFonts w:cs="Arial"/>
                <w:color w:val="000000"/>
                <w:sz w:val="20"/>
                <w:szCs w:val="20"/>
                <w:lang w:eastAsia="en-AU"/>
              </w:rPr>
              <w:t>8.6%</w:t>
            </w: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8.4%</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Heathmont</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38.3%</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14.3%</w:t>
            </w: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41.4%</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Kilsyth</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29.8%</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17.4%</w:t>
            </w:r>
          </w:p>
        </w:tc>
        <w:tc>
          <w:tcPr>
            <w:tcW w:w="1701"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3.9%</w:t>
            </w: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78.7%</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Kilsyth South</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22.1%</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11.0%</w:t>
            </w:r>
          </w:p>
        </w:tc>
        <w:tc>
          <w:tcPr>
            <w:tcW w:w="1701"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7.9%</w:t>
            </w: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19.5%</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Park Orchards</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26.4%</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Ringwood</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35.7%</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6.1%</w:t>
            </w: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r w:rsidRPr="009A5738">
              <w:rPr>
                <w:rFonts w:cs="Arial"/>
                <w:color w:val="000000"/>
                <w:sz w:val="20"/>
                <w:szCs w:val="20"/>
                <w:lang w:eastAsia="en-AU"/>
              </w:rPr>
              <w:t>13.5%</w:t>
            </w: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41.3%</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Ringwood East</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37.8%</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12.5%</w:t>
            </w: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53.4%</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Ringwood North</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31.6%</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8.8%</w:t>
            </w:r>
          </w:p>
        </w:tc>
        <w:tc>
          <w:tcPr>
            <w:tcW w:w="1701" w:type="dxa"/>
            <w:tcBorders>
              <w:top w:val="nil"/>
              <w:left w:val="nil"/>
              <w:bottom w:val="nil"/>
              <w:right w:val="nil"/>
            </w:tcBorders>
          </w:tcPr>
          <w:p w:rsidR="009A12D7" w:rsidRPr="009A5738" w:rsidRDefault="009A12D7" w:rsidP="009A12D7">
            <w:pPr>
              <w:jc w:val="right"/>
              <w:rPr>
                <w:rFonts w:cs="Arial"/>
                <w:sz w:val="20"/>
                <w:szCs w:val="20"/>
                <w:lang w:val="en-US"/>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34.4%</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Vermont</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32.4%</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52.6%</w:t>
            </w:r>
          </w:p>
        </w:tc>
        <w:tc>
          <w:tcPr>
            <w:tcW w:w="1701"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60.7%</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Warranwood</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28.6%</w:t>
            </w:r>
          </w:p>
        </w:tc>
        <w:tc>
          <w:tcPr>
            <w:tcW w:w="1843"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14.5%</w:t>
            </w:r>
          </w:p>
        </w:tc>
        <w:tc>
          <w:tcPr>
            <w:tcW w:w="1701"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p>
        </w:tc>
        <w:tc>
          <w:tcPr>
            <w:tcW w:w="1643" w:type="dxa"/>
            <w:tcBorders>
              <w:top w:val="nil"/>
              <w:left w:val="nil"/>
              <w:bottom w:val="nil"/>
            </w:tcBorders>
            <w:vAlign w:val="center"/>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33.5%</w:t>
            </w:r>
          </w:p>
        </w:tc>
      </w:tr>
      <w:tr w:rsidR="009A12D7" w:rsidTr="007E36BF">
        <w:tc>
          <w:tcPr>
            <w:tcW w:w="3969" w:type="dxa"/>
            <w:tcBorders>
              <w:top w:val="nil"/>
              <w:bottom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Wonga Park</w:t>
            </w:r>
          </w:p>
        </w:tc>
        <w:tc>
          <w:tcPr>
            <w:tcW w:w="1418" w:type="dxa"/>
            <w:tcBorders>
              <w:top w:val="nil"/>
              <w:left w:val="nil"/>
              <w:bottom w:val="nil"/>
              <w:right w:val="nil"/>
            </w:tcBorders>
            <w:vAlign w:val="bottom"/>
          </w:tcPr>
          <w:p w:rsidR="009A12D7" w:rsidRPr="009A5738" w:rsidRDefault="009A12D7" w:rsidP="009A12D7">
            <w:pPr>
              <w:jc w:val="right"/>
              <w:rPr>
                <w:rFonts w:cs="Arial"/>
                <w:color w:val="000000"/>
                <w:sz w:val="20"/>
                <w:szCs w:val="20"/>
                <w:lang w:eastAsia="en-AU"/>
              </w:rPr>
            </w:pPr>
            <w:r w:rsidRPr="009A5738">
              <w:rPr>
                <w:rFonts w:cs="Arial"/>
                <w:color w:val="000000"/>
                <w:sz w:val="20"/>
                <w:szCs w:val="20"/>
                <w:lang w:eastAsia="en-AU"/>
              </w:rPr>
              <w:t>26.4%</w:t>
            </w:r>
          </w:p>
        </w:tc>
        <w:tc>
          <w:tcPr>
            <w:tcW w:w="1843" w:type="dxa"/>
            <w:tcBorders>
              <w:top w:val="nil"/>
              <w:left w:val="nil"/>
              <w:bottom w:val="nil"/>
              <w:right w:val="nil"/>
            </w:tcBorders>
            <w:vAlign w:val="bottom"/>
          </w:tcPr>
          <w:p w:rsidR="009A12D7" w:rsidRPr="009A5738" w:rsidRDefault="009A12D7" w:rsidP="009A12D7">
            <w:pPr>
              <w:jc w:val="right"/>
              <w:rPr>
                <w:rFonts w:cs="Arial"/>
                <w:b/>
                <w:bCs/>
                <w:color w:val="000000"/>
                <w:sz w:val="20"/>
                <w:szCs w:val="20"/>
                <w:lang w:eastAsia="en-AU"/>
              </w:rPr>
            </w:pPr>
          </w:p>
        </w:tc>
        <w:tc>
          <w:tcPr>
            <w:tcW w:w="1701" w:type="dxa"/>
            <w:tcBorders>
              <w:top w:val="nil"/>
              <w:left w:val="nil"/>
              <w:bottom w:val="nil"/>
              <w:right w:val="nil"/>
            </w:tcBorders>
            <w:vAlign w:val="bottom"/>
          </w:tcPr>
          <w:p w:rsidR="009A12D7" w:rsidRPr="009A5738" w:rsidRDefault="009A12D7" w:rsidP="009A12D7">
            <w:pPr>
              <w:jc w:val="right"/>
              <w:rPr>
                <w:rFonts w:cs="Arial"/>
                <w:b/>
                <w:bCs/>
                <w:color w:val="000000"/>
                <w:sz w:val="20"/>
                <w:szCs w:val="20"/>
                <w:lang w:eastAsia="en-AU"/>
              </w:rPr>
            </w:pPr>
          </w:p>
        </w:tc>
        <w:tc>
          <w:tcPr>
            <w:tcW w:w="1643" w:type="dxa"/>
            <w:tcBorders>
              <w:top w:val="nil"/>
              <w:left w:val="nil"/>
              <w:bottom w:val="nil"/>
            </w:tcBorders>
            <w:vAlign w:val="center"/>
          </w:tcPr>
          <w:p w:rsidR="009A12D7" w:rsidRPr="009A5738" w:rsidRDefault="009A12D7" w:rsidP="009A12D7">
            <w:pPr>
              <w:jc w:val="right"/>
              <w:rPr>
                <w:rFonts w:cs="Arial"/>
                <w:b/>
                <w:bCs/>
                <w:color w:val="000000"/>
                <w:sz w:val="20"/>
                <w:szCs w:val="20"/>
                <w:lang w:eastAsia="en-AU"/>
              </w:rPr>
            </w:pPr>
          </w:p>
        </w:tc>
      </w:tr>
      <w:tr w:rsidR="009A12D7" w:rsidTr="007E36BF">
        <w:tc>
          <w:tcPr>
            <w:tcW w:w="3969" w:type="dxa"/>
            <w:tcBorders>
              <w:top w:val="nil"/>
              <w:right w:val="nil"/>
            </w:tcBorders>
            <w:vAlign w:val="bottom"/>
          </w:tcPr>
          <w:p w:rsidR="009A12D7" w:rsidRPr="009A5738" w:rsidRDefault="009A12D7" w:rsidP="009A12D7">
            <w:pPr>
              <w:rPr>
                <w:rFonts w:cs="Arial"/>
                <w:color w:val="000000"/>
                <w:sz w:val="20"/>
                <w:szCs w:val="20"/>
                <w:lang w:eastAsia="en-AU"/>
              </w:rPr>
            </w:pPr>
            <w:r w:rsidRPr="009A5738">
              <w:rPr>
                <w:rFonts w:cs="Arial"/>
                <w:color w:val="000000"/>
                <w:sz w:val="20"/>
                <w:szCs w:val="20"/>
                <w:lang w:eastAsia="en-AU"/>
              </w:rPr>
              <w:t>Other Suburbs</w:t>
            </w:r>
          </w:p>
        </w:tc>
        <w:tc>
          <w:tcPr>
            <w:tcW w:w="1418" w:type="dxa"/>
            <w:tcBorders>
              <w:top w:val="nil"/>
              <w:left w:val="nil"/>
              <w:right w:val="nil"/>
            </w:tcBorders>
            <w:vAlign w:val="bottom"/>
          </w:tcPr>
          <w:p w:rsidR="009A12D7" w:rsidRPr="009A5738" w:rsidRDefault="009A12D7" w:rsidP="009A12D7">
            <w:pPr>
              <w:jc w:val="right"/>
              <w:rPr>
                <w:rFonts w:cs="Arial"/>
                <w:color w:val="000000"/>
                <w:sz w:val="20"/>
                <w:szCs w:val="20"/>
                <w:lang w:eastAsia="en-AU"/>
              </w:rPr>
            </w:pPr>
          </w:p>
        </w:tc>
        <w:tc>
          <w:tcPr>
            <w:tcW w:w="1843" w:type="dxa"/>
            <w:tcBorders>
              <w:top w:val="nil"/>
              <w:left w:val="nil"/>
              <w:right w:val="nil"/>
            </w:tcBorders>
            <w:vAlign w:val="bottom"/>
          </w:tcPr>
          <w:p w:rsidR="009A12D7" w:rsidRPr="009A5738" w:rsidRDefault="009A12D7" w:rsidP="009A12D7">
            <w:pPr>
              <w:jc w:val="right"/>
              <w:rPr>
                <w:rFonts w:cs="Arial"/>
                <w:b/>
                <w:bCs/>
                <w:color w:val="000000"/>
                <w:sz w:val="20"/>
                <w:szCs w:val="20"/>
                <w:lang w:eastAsia="en-AU"/>
              </w:rPr>
            </w:pPr>
          </w:p>
        </w:tc>
        <w:tc>
          <w:tcPr>
            <w:tcW w:w="1701" w:type="dxa"/>
            <w:tcBorders>
              <w:top w:val="nil"/>
              <w:left w:val="nil"/>
              <w:right w:val="nil"/>
            </w:tcBorders>
            <w:vAlign w:val="bottom"/>
          </w:tcPr>
          <w:p w:rsidR="009A12D7" w:rsidRPr="009A5738" w:rsidRDefault="009A12D7" w:rsidP="009A12D7">
            <w:pPr>
              <w:jc w:val="right"/>
              <w:rPr>
                <w:rFonts w:cs="Arial"/>
                <w:bCs/>
                <w:color w:val="000000"/>
                <w:sz w:val="20"/>
                <w:szCs w:val="20"/>
                <w:lang w:eastAsia="en-AU"/>
              </w:rPr>
            </w:pPr>
            <w:r w:rsidRPr="009A5738">
              <w:rPr>
                <w:rFonts w:cs="Arial"/>
                <w:bCs/>
                <w:color w:val="000000"/>
                <w:sz w:val="20"/>
                <w:szCs w:val="20"/>
                <w:lang w:eastAsia="en-AU"/>
              </w:rPr>
              <w:t>28.1%</w:t>
            </w:r>
          </w:p>
        </w:tc>
        <w:tc>
          <w:tcPr>
            <w:tcW w:w="1643" w:type="dxa"/>
            <w:tcBorders>
              <w:top w:val="nil"/>
              <w:left w:val="nil"/>
            </w:tcBorders>
            <w:vAlign w:val="center"/>
          </w:tcPr>
          <w:p w:rsidR="009A12D7" w:rsidRPr="009A5738" w:rsidRDefault="009A12D7" w:rsidP="009A12D7">
            <w:pPr>
              <w:jc w:val="right"/>
              <w:rPr>
                <w:rFonts w:cs="Arial"/>
                <w:sz w:val="20"/>
                <w:szCs w:val="20"/>
                <w:lang w:val="en-US"/>
              </w:rPr>
            </w:pPr>
          </w:p>
        </w:tc>
      </w:tr>
      <w:tr w:rsidR="009A12D7" w:rsidTr="007E36BF">
        <w:tc>
          <w:tcPr>
            <w:tcW w:w="3969" w:type="dxa"/>
            <w:tcBorders>
              <w:bottom w:val="single" w:sz="12" w:space="0" w:color="auto"/>
              <w:right w:val="nil"/>
            </w:tcBorders>
            <w:vAlign w:val="bottom"/>
          </w:tcPr>
          <w:p w:rsidR="009A12D7" w:rsidRPr="009A5738" w:rsidRDefault="009A12D7" w:rsidP="009A12D7">
            <w:pPr>
              <w:rPr>
                <w:rFonts w:cs="Arial"/>
                <w:b/>
                <w:color w:val="000000"/>
                <w:sz w:val="20"/>
                <w:szCs w:val="20"/>
                <w:lang w:eastAsia="en-AU"/>
              </w:rPr>
            </w:pPr>
            <w:r w:rsidRPr="009A5738">
              <w:rPr>
                <w:rFonts w:cs="Arial"/>
                <w:b/>
                <w:color w:val="000000"/>
                <w:sz w:val="20"/>
                <w:szCs w:val="20"/>
                <w:lang w:eastAsia="en-AU"/>
              </w:rPr>
              <w:t>Total</w:t>
            </w:r>
          </w:p>
        </w:tc>
        <w:tc>
          <w:tcPr>
            <w:tcW w:w="1418" w:type="dxa"/>
            <w:tcBorders>
              <w:left w:val="nil"/>
              <w:bottom w:val="single" w:sz="12" w:space="0" w:color="auto"/>
              <w:right w:val="nil"/>
            </w:tcBorders>
            <w:vAlign w:val="bottom"/>
          </w:tcPr>
          <w:p w:rsidR="009A12D7" w:rsidRPr="009A5738" w:rsidRDefault="009A12D7" w:rsidP="009A12D7">
            <w:pPr>
              <w:jc w:val="right"/>
              <w:rPr>
                <w:rFonts w:cs="Arial"/>
                <w:b/>
                <w:bCs/>
                <w:color w:val="000000"/>
                <w:sz w:val="20"/>
                <w:szCs w:val="20"/>
                <w:lang w:eastAsia="en-AU"/>
              </w:rPr>
            </w:pPr>
            <w:r w:rsidRPr="009A5738">
              <w:rPr>
                <w:rFonts w:cs="Arial"/>
                <w:b/>
                <w:bCs/>
                <w:color w:val="000000"/>
                <w:sz w:val="20"/>
                <w:szCs w:val="20"/>
                <w:lang w:eastAsia="en-AU"/>
              </w:rPr>
              <w:t>31.2%</w:t>
            </w:r>
          </w:p>
        </w:tc>
        <w:tc>
          <w:tcPr>
            <w:tcW w:w="1843" w:type="dxa"/>
            <w:tcBorders>
              <w:left w:val="nil"/>
              <w:bottom w:val="single" w:sz="12" w:space="0" w:color="auto"/>
              <w:right w:val="nil"/>
            </w:tcBorders>
            <w:vAlign w:val="bottom"/>
          </w:tcPr>
          <w:p w:rsidR="009A12D7" w:rsidRPr="009A5738" w:rsidRDefault="009A12D7" w:rsidP="009A12D7">
            <w:pPr>
              <w:jc w:val="right"/>
              <w:rPr>
                <w:sz w:val="20"/>
                <w:szCs w:val="20"/>
                <w:lang w:val="en-US"/>
              </w:rPr>
            </w:pPr>
            <w:r w:rsidRPr="009A5738">
              <w:rPr>
                <w:rFonts w:cs="Arial"/>
                <w:b/>
                <w:bCs/>
                <w:color w:val="000000"/>
                <w:sz w:val="20"/>
                <w:szCs w:val="20"/>
                <w:lang w:eastAsia="en-AU"/>
              </w:rPr>
              <w:t>8.0%</w:t>
            </w:r>
          </w:p>
        </w:tc>
        <w:tc>
          <w:tcPr>
            <w:tcW w:w="1701" w:type="dxa"/>
            <w:tcBorders>
              <w:left w:val="nil"/>
              <w:bottom w:val="single" w:sz="12" w:space="0" w:color="auto"/>
              <w:right w:val="nil"/>
            </w:tcBorders>
          </w:tcPr>
          <w:p w:rsidR="009A12D7" w:rsidRPr="009A5738" w:rsidRDefault="009A12D7" w:rsidP="009A12D7">
            <w:pPr>
              <w:jc w:val="right"/>
              <w:rPr>
                <w:b/>
                <w:sz w:val="20"/>
                <w:szCs w:val="20"/>
                <w:lang w:val="en-US"/>
              </w:rPr>
            </w:pPr>
            <w:r w:rsidRPr="009A5738">
              <w:rPr>
                <w:b/>
                <w:sz w:val="20"/>
                <w:szCs w:val="20"/>
                <w:lang w:val="en-US"/>
              </w:rPr>
              <w:t>9.0%</w:t>
            </w:r>
          </w:p>
        </w:tc>
        <w:tc>
          <w:tcPr>
            <w:tcW w:w="1643" w:type="dxa"/>
            <w:tcBorders>
              <w:left w:val="nil"/>
              <w:bottom w:val="single" w:sz="12" w:space="0" w:color="auto"/>
            </w:tcBorders>
            <w:vAlign w:val="center"/>
          </w:tcPr>
          <w:p w:rsidR="009A12D7" w:rsidRPr="009A5738" w:rsidRDefault="009A12D7" w:rsidP="009A12D7">
            <w:pPr>
              <w:jc w:val="right"/>
              <w:rPr>
                <w:sz w:val="20"/>
                <w:szCs w:val="20"/>
                <w:lang w:val="en-US"/>
              </w:rPr>
            </w:pPr>
            <w:r w:rsidRPr="009A5738">
              <w:rPr>
                <w:rFonts w:cs="Arial"/>
                <w:b/>
                <w:bCs/>
                <w:color w:val="000000"/>
                <w:sz w:val="20"/>
                <w:szCs w:val="20"/>
                <w:lang w:eastAsia="en-AU"/>
              </w:rPr>
              <w:t>31.4%</w:t>
            </w:r>
          </w:p>
        </w:tc>
      </w:tr>
    </w:tbl>
    <w:p w:rsidR="00E27A90" w:rsidRDefault="00E27A90" w:rsidP="004D2436">
      <w:pPr>
        <w:rPr>
          <w:lang w:val="en-US"/>
        </w:rPr>
      </w:pPr>
    </w:p>
    <w:p w:rsidR="00930E84" w:rsidRDefault="0019151A" w:rsidP="004D0908">
      <w:pPr>
        <w:jc w:val="both"/>
        <w:rPr>
          <w:lang w:val="en-US"/>
        </w:rPr>
      </w:pPr>
      <w:r>
        <w:rPr>
          <w:lang w:val="en-US"/>
        </w:rPr>
        <w:t>Council</w:t>
      </w:r>
      <w:r w:rsidR="00930E84">
        <w:rPr>
          <w:lang w:val="en-US"/>
        </w:rPr>
        <w:t xml:space="preserve"> needs to be mindful of the impacts of revaluations on the various property types in implementing the differential rating strategy outlined in the previous section to ensure that rises and falls in </w:t>
      </w:r>
      <w:r>
        <w:rPr>
          <w:lang w:val="en-US"/>
        </w:rPr>
        <w:t>Council</w:t>
      </w:r>
      <w:r w:rsidR="00930E84">
        <w:rPr>
          <w:lang w:val="en-US"/>
        </w:rPr>
        <w:t xml:space="preserve"> rates remain affordable and that rating ‘shocks’ are mitigated to some degree.</w:t>
      </w:r>
    </w:p>
    <w:p w:rsidR="00930E84" w:rsidRDefault="00930E84" w:rsidP="004D0908">
      <w:pPr>
        <w:jc w:val="both"/>
        <w:rPr>
          <w:lang w:val="en-US"/>
        </w:rPr>
      </w:pPr>
    </w:p>
    <w:p w:rsidR="00E9063E" w:rsidRDefault="00930E84" w:rsidP="004D0908">
      <w:pPr>
        <w:jc w:val="both"/>
        <w:rPr>
          <w:lang w:val="en-US"/>
        </w:rPr>
      </w:pPr>
      <w:r w:rsidRPr="00DE40E5">
        <w:rPr>
          <w:lang w:val="en-US"/>
        </w:rPr>
        <w:t>By way of example</w:t>
      </w:r>
      <w:r w:rsidR="002260C2" w:rsidRPr="00DE40E5">
        <w:rPr>
          <w:lang w:val="en-US"/>
        </w:rPr>
        <w:t>,</w:t>
      </w:r>
      <w:r w:rsidRPr="00DE40E5">
        <w:rPr>
          <w:lang w:val="en-US"/>
        </w:rPr>
        <w:t xml:space="preserve"> the table below highlights the</w:t>
      </w:r>
      <w:r w:rsidR="004D4E6B" w:rsidRPr="00DE40E5">
        <w:rPr>
          <w:lang w:val="en-US"/>
        </w:rPr>
        <w:t xml:space="preserve"> anticipated</w:t>
      </w:r>
      <w:r w:rsidRPr="00DE40E5">
        <w:rPr>
          <w:lang w:val="en-US"/>
        </w:rPr>
        <w:t xml:space="preserve"> rating impact</w:t>
      </w:r>
      <w:r w:rsidR="004D4E6B" w:rsidRPr="00DE40E5">
        <w:rPr>
          <w:lang w:val="en-US"/>
        </w:rPr>
        <w:t xml:space="preserve"> in 2018/2019</w:t>
      </w:r>
      <w:r w:rsidRPr="00DE40E5">
        <w:rPr>
          <w:lang w:val="en-US"/>
        </w:rPr>
        <w:t xml:space="preserve"> on the various rating types should </w:t>
      </w:r>
      <w:r w:rsidR="0019151A" w:rsidRPr="00DE40E5">
        <w:rPr>
          <w:lang w:val="en-US"/>
        </w:rPr>
        <w:t>Council</w:t>
      </w:r>
      <w:r w:rsidRPr="00DE40E5">
        <w:rPr>
          <w:lang w:val="en-US"/>
        </w:rPr>
        <w:t xml:space="preserve"> retain the current differential structure</w:t>
      </w:r>
      <w:r w:rsidR="004D4E6B" w:rsidRPr="00DE40E5">
        <w:rPr>
          <w:lang w:val="en-US"/>
        </w:rPr>
        <w:t>, whereby the rate in $ remains the same for Residential, Commercial, and Industrial properties</w:t>
      </w:r>
      <w:r w:rsidR="00022430" w:rsidRPr="00DE40E5">
        <w:rPr>
          <w:lang w:val="en-US"/>
        </w:rPr>
        <w:t>.</w:t>
      </w:r>
    </w:p>
    <w:p w:rsidR="00AD5DCC" w:rsidRPr="00DE40E5" w:rsidRDefault="00AD5DCC" w:rsidP="004D2436">
      <w:pPr>
        <w:rPr>
          <w:lang w:val="en-US"/>
        </w:rPr>
      </w:pPr>
    </w:p>
    <w:tbl>
      <w:tblPr>
        <w:tblStyle w:val="TableGrid"/>
        <w:tblW w:w="0" w:type="auto"/>
        <w:tblInd w:w="108" w:type="dxa"/>
        <w:tblLook w:val="04A0" w:firstRow="1" w:lastRow="0" w:firstColumn="1" w:lastColumn="0" w:noHBand="0" w:noVBand="1"/>
      </w:tblPr>
      <w:tblGrid>
        <w:gridCol w:w="5254"/>
        <w:gridCol w:w="3471"/>
        <w:gridCol w:w="1623"/>
      </w:tblGrid>
      <w:tr w:rsidR="00BC3B84" w:rsidRPr="00DE40E5" w:rsidTr="00540ACA">
        <w:tc>
          <w:tcPr>
            <w:tcW w:w="5387" w:type="dxa"/>
            <w:tcBorders>
              <w:right w:val="nil"/>
            </w:tcBorders>
            <w:shd w:val="clear" w:color="auto" w:fill="1F497D" w:themeFill="text2"/>
          </w:tcPr>
          <w:p w:rsidR="00BC3B84" w:rsidRPr="00DE40E5" w:rsidRDefault="00BC3B84" w:rsidP="004D2436">
            <w:pPr>
              <w:rPr>
                <w:b/>
                <w:color w:val="FFFFFF" w:themeColor="background1"/>
                <w:lang w:val="en-US"/>
              </w:rPr>
            </w:pPr>
            <w:r w:rsidRPr="00DE40E5">
              <w:rPr>
                <w:b/>
                <w:color w:val="FFFFFF" w:themeColor="background1"/>
                <w:lang w:val="en-US"/>
              </w:rPr>
              <w:t>Type or class of land</w:t>
            </w:r>
          </w:p>
        </w:tc>
        <w:tc>
          <w:tcPr>
            <w:tcW w:w="3544" w:type="dxa"/>
            <w:tcBorders>
              <w:left w:val="nil"/>
              <w:right w:val="nil"/>
            </w:tcBorders>
            <w:shd w:val="clear" w:color="auto" w:fill="1F497D" w:themeFill="text2"/>
          </w:tcPr>
          <w:p w:rsidR="00BC3B84" w:rsidRPr="00DE40E5" w:rsidRDefault="004D4E6B" w:rsidP="00BC3B84">
            <w:pPr>
              <w:jc w:val="right"/>
              <w:rPr>
                <w:b/>
                <w:color w:val="FFFFFF" w:themeColor="background1"/>
                <w:lang w:val="en-US"/>
              </w:rPr>
            </w:pPr>
            <w:r w:rsidRPr="00DE40E5">
              <w:rPr>
                <w:b/>
                <w:color w:val="FFFFFF" w:themeColor="background1"/>
                <w:lang w:val="en-US"/>
              </w:rPr>
              <w:t>Estimated 2018/2019</w:t>
            </w:r>
            <w:r w:rsidR="002C2839" w:rsidRPr="00DE40E5">
              <w:rPr>
                <w:b/>
                <w:color w:val="FFFFFF" w:themeColor="background1"/>
                <w:lang w:val="en-US"/>
              </w:rPr>
              <w:t xml:space="preserve"> </w:t>
            </w:r>
            <w:r w:rsidR="002260C2" w:rsidRPr="00DE40E5">
              <w:rPr>
                <w:b/>
                <w:color w:val="FFFFFF" w:themeColor="background1"/>
                <w:lang w:val="en-US"/>
              </w:rPr>
              <w:t>CIV</w:t>
            </w:r>
          </w:p>
        </w:tc>
        <w:tc>
          <w:tcPr>
            <w:tcW w:w="1643" w:type="dxa"/>
            <w:tcBorders>
              <w:left w:val="nil"/>
            </w:tcBorders>
            <w:shd w:val="clear" w:color="auto" w:fill="1F497D" w:themeFill="text2"/>
          </w:tcPr>
          <w:p w:rsidR="00BC3B84" w:rsidRPr="00DE40E5" w:rsidRDefault="00BC3B84" w:rsidP="00BC3B84">
            <w:pPr>
              <w:jc w:val="right"/>
              <w:rPr>
                <w:b/>
                <w:color w:val="FFFFFF" w:themeColor="background1"/>
                <w:lang w:val="en-US"/>
              </w:rPr>
            </w:pPr>
            <w:r w:rsidRPr="00DE40E5">
              <w:rPr>
                <w:b/>
                <w:color w:val="FFFFFF" w:themeColor="background1"/>
                <w:lang w:val="en-US"/>
              </w:rPr>
              <w:t xml:space="preserve">% Change </w:t>
            </w:r>
          </w:p>
        </w:tc>
      </w:tr>
      <w:tr w:rsidR="00BC3B84" w:rsidRPr="00DE40E5" w:rsidTr="004D0908">
        <w:tc>
          <w:tcPr>
            <w:tcW w:w="5387" w:type="dxa"/>
            <w:tcBorders>
              <w:bottom w:val="nil"/>
              <w:right w:val="nil"/>
            </w:tcBorders>
            <w:vAlign w:val="center"/>
          </w:tcPr>
          <w:p w:rsidR="00BC3B84" w:rsidRPr="00DE40E5" w:rsidRDefault="00BC3B84" w:rsidP="00BC3B84">
            <w:pPr>
              <w:rPr>
                <w:sz w:val="20"/>
                <w:szCs w:val="20"/>
                <w:lang w:val="en-US"/>
              </w:rPr>
            </w:pPr>
            <w:r w:rsidRPr="00DE40E5">
              <w:rPr>
                <w:sz w:val="20"/>
                <w:szCs w:val="20"/>
                <w:lang w:val="en-US"/>
              </w:rPr>
              <w:t>General Rate</w:t>
            </w:r>
          </w:p>
        </w:tc>
        <w:tc>
          <w:tcPr>
            <w:tcW w:w="3544" w:type="dxa"/>
            <w:tcBorders>
              <w:left w:val="nil"/>
              <w:bottom w:val="nil"/>
              <w:right w:val="nil"/>
            </w:tcBorders>
          </w:tcPr>
          <w:p w:rsidR="00BC3B84" w:rsidRPr="00DE40E5" w:rsidRDefault="004D4E6B" w:rsidP="004D4E6B">
            <w:pPr>
              <w:jc w:val="right"/>
              <w:rPr>
                <w:sz w:val="20"/>
                <w:szCs w:val="20"/>
                <w:lang w:val="en-US"/>
              </w:rPr>
            </w:pPr>
            <w:r w:rsidRPr="00DE40E5">
              <w:rPr>
                <w:bCs/>
                <w:sz w:val="20"/>
                <w:szCs w:val="20"/>
              </w:rPr>
              <w:t>$63,581,857</w:t>
            </w:r>
          </w:p>
        </w:tc>
        <w:tc>
          <w:tcPr>
            <w:tcW w:w="1643" w:type="dxa"/>
            <w:tcBorders>
              <w:left w:val="nil"/>
              <w:bottom w:val="nil"/>
            </w:tcBorders>
          </w:tcPr>
          <w:p w:rsidR="00BC3B84" w:rsidRPr="00DE40E5" w:rsidRDefault="004D4E6B" w:rsidP="004D4E6B">
            <w:pPr>
              <w:jc w:val="right"/>
              <w:rPr>
                <w:sz w:val="20"/>
                <w:szCs w:val="20"/>
                <w:lang w:val="en-US"/>
              </w:rPr>
            </w:pPr>
            <w:r w:rsidRPr="00DE40E5">
              <w:rPr>
                <w:sz w:val="20"/>
                <w:szCs w:val="20"/>
                <w:lang w:val="en-US"/>
              </w:rPr>
              <w:t>1.89%</w:t>
            </w:r>
          </w:p>
        </w:tc>
      </w:tr>
      <w:tr w:rsidR="00BC3B84" w:rsidRPr="00DE40E5" w:rsidTr="004D0908">
        <w:tc>
          <w:tcPr>
            <w:tcW w:w="5387" w:type="dxa"/>
            <w:tcBorders>
              <w:top w:val="nil"/>
              <w:bottom w:val="nil"/>
              <w:right w:val="nil"/>
            </w:tcBorders>
            <w:vAlign w:val="center"/>
          </w:tcPr>
          <w:p w:rsidR="00BC3B84" w:rsidRPr="00DE40E5" w:rsidRDefault="00BC3B84" w:rsidP="00BC3B84">
            <w:pPr>
              <w:rPr>
                <w:sz w:val="20"/>
                <w:szCs w:val="20"/>
                <w:lang w:val="en-US"/>
              </w:rPr>
            </w:pPr>
            <w:r w:rsidRPr="00DE40E5">
              <w:rPr>
                <w:sz w:val="20"/>
                <w:szCs w:val="20"/>
                <w:lang w:val="en-US"/>
              </w:rPr>
              <w:t>Commercial Land</w:t>
            </w:r>
          </w:p>
        </w:tc>
        <w:tc>
          <w:tcPr>
            <w:tcW w:w="3544" w:type="dxa"/>
            <w:tcBorders>
              <w:top w:val="nil"/>
              <w:left w:val="nil"/>
              <w:bottom w:val="nil"/>
              <w:right w:val="nil"/>
            </w:tcBorders>
          </w:tcPr>
          <w:p w:rsidR="00BC3B84" w:rsidRPr="00DE40E5" w:rsidRDefault="004D4E6B" w:rsidP="004D4E6B">
            <w:pPr>
              <w:jc w:val="right"/>
              <w:rPr>
                <w:sz w:val="20"/>
                <w:szCs w:val="20"/>
              </w:rPr>
            </w:pPr>
            <w:r w:rsidRPr="00DE40E5">
              <w:rPr>
                <w:bCs/>
                <w:sz w:val="20"/>
                <w:szCs w:val="20"/>
              </w:rPr>
              <w:t>$5,487,446</w:t>
            </w:r>
          </w:p>
        </w:tc>
        <w:tc>
          <w:tcPr>
            <w:tcW w:w="1643" w:type="dxa"/>
            <w:tcBorders>
              <w:top w:val="nil"/>
              <w:left w:val="nil"/>
              <w:bottom w:val="nil"/>
            </w:tcBorders>
          </w:tcPr>
          <w:p w:rsidR="00BC3B84" w:rsidRPr="00DE40E5" w:rsidRDefault="004D4E6B" w:rsidP="004D4E6B">
            <w:pPr>
              <w:jc w:val="right"/>
              <w:rPr>
                <w:sz w:val="20"/>
                <w:szCs w:val="20"/>
                <w:lang w:val="en-US"/>
              </w:rPr>
            </w:pPr>
            <w:r w:rsidRPr="00DE40E5">
              <w:rPr>
                <w:sz w:val="20"/>
                <w:szCs w:val="20"/>
                <w:lang w:val="en-US"/>
              </w:rPr>
              <w:t>-12.44%</w:t>
            </w:r>
          </w:p>
        </w:tc>
      </w:tr>
      <w:tr w:rsidR="00BC3B84" w:rsidRPr="00DE40E5" w:rsidTr="004D0908">
        <w:tc>
          <w:tcPr>
            <w:tcW w:w="5387" w:type="dxa"/>
            <w:tcBorders>
              <w:top w:val="nil"/>
              <w:bottom w:val="nil"/>
              <w:right w:val="nil"/>
            </w:tcBorders>
            <w:vAlign w:val="center"/>
          </w:tcPr>
          <w:p w:rsidR="00BC3B84" w:rsidRPr="00DE40E5" w:rsidRDefault="00BC3B84" w:rsidP="00BC3B84">
            <w:pPr>
              <w:rPr>
                <w:sz w:val="20"/>
                <w:szCs w:val="20"/>
                <w:lang w:val="en-US"/>
              </w:rPr>
            </w:pPr>
            <w:r w:rsidRPr="00DE40E5">
              <w:rPr>
                <w:sz w:val="20"/>
                <w:szCs w:val="20"/>
                <w:lang w:val="en-US"/>
              </w:rPr>
              <w:t>Industrial Land</w:t>
            </w:r>
          </w:p>
        </w:tc>
        <w:tc>
          <w:tcPr>
            <w:tcW w:w="3544" w:type="dxa"/>
            <w:tcBorders>
              <w:top w:val="nil"/>
              <w:left w:val="nil"/>
              <w:bottom w:val="nil"/>
              <w:right w:val="nil"/>
            </w:tcBorders>
          </w:tcPr>
          <w:p w:rsidR="00BC3B84" w:rsidRPr="00DE40E5" w:rsidRDefault="004D4E6B" w:rsidP="004D4E6B">
            <w:pPr>
              <w:jc w:val="right"/>
              <w:rPr>
                <w:sz w:val="20"/>
                <w:szCs w:val="20"/>
              </w:rPr>
            </w:pPr>
            <w:r w:rsidRPr="00DE40E5">
              <w:rPr>
                <w:bCs/>
                <w:sz w:val="20"/>
                <w:szCs w:val="20"/>
              </w:rPr>
              <w:t>$2,868,459</w:t>
            </w:r>
          </w:p>
        </w:tc>
        <w:tc>
          <w:tcPr>
            <w:tcW w:w="1643" w:type="dxa"/>
            <w:tcBorders>
              <w:top w:val="nil"/>
              <w:left w:val="nil"/>
              <w:bottom w:val="nil"/>
            </w:tcBorders>
          </w:tcPr>
          <w:p w:rsidR="00BC3B84" w:rsidRPr="00DE40E5" w:rsidRDefault="004D4E6B" w:rsidP="004D4E6B">
            <w:pPr>
              <w:jc w:val="right"/>
              <w:rPr>
                <w:sz w:val="20"/>
                <w:szCs w:val="20"/>
                <w:lang w:val="en-US"/>
              </w:rPr>
            </w:pPr>
            <w:r w:rsidRPr="00DE40E5">
              <w:rPr>
                <w:sz w:val="20"/>
                <w:szCs w:val="20"/>
                <w:lang w:val="en-US"/>
              </w:rPr>
              <w:t>-12.44%</w:t>
            </w:r>
          </w:p>
        </w:tc>
      </w:tr>
      <w:tr w:rsidR="00BC3B84" w:rsidRPr="00DE40E5" w:rsidTr="004D0908">
        <w:tc>
          <w:tcPr>
            <w:tcW w:w="5387" w:type="dxa"/>
            <w:tcBorders>
              <w:top w:val="nil"/>
              <w:bottom w:val="nil"/>
              <w:right w:val="nil"/>
            </w:tcBorders>
            <w:vAlign w:val="center"/>
          </w:tcPr>
          <w:p w:rsidR="00BC3B84" w:rsidRPr="00DE40E5" w:rsidRDefault="00BC3B84" w:rsidP="00BC3B84">
            <w:pPr>
              <w:rPr>
                <w:sz w:val="20"/>
                <w:szCs w:val="20"/>
                <w:lang w:val="en-US"/>
              </w:rPr>
            </w:pPr>
            <w:r w:rsidRPr="00DE40E5">
              <w:rPr>
                <w:sz w:val="20"/>
                <w:szCs w:val="20"/>
                <w:lang w:val="en-US"/>
              </w:rPr>
              <w:t>Vacant Land</w:t>
            </w:r>
          </w:p>
        </w:tc>
        <w:tc>
          <w:tcPr>
            <w:tcW w:w="3544" w:type="dxa"/>
            <w:tcBorders>
              <w:top w:val="nil"/>
              <w:left w:val="nil"/>
              <w:bottom w:val="nil"/>
              <w:right w:val="nil"/>
            </w:tcBorders>
          </w:tcPr>
          <w:p w:rsidR="00BC3B84" w:rsidRPr="00DE40E5" w:rsidRDefault="00375B55" w:rsidP="00375B55">
            <w:pPr>
              <w:jc w:val="right"/>
              <w:rPr>
                <w:sz w:val="20"/>
                <w:szCs w:val="20"/>
                <w:lang w:val="en-US"/>
              </w:rPr>
            </w:pPr>
            <w:r w:rsidRPr="00DE40E5">
              <w:rPr>
                <w:sz w:val="20"/>
                <w:szCs w:val="20"/>
                <w:lang w:val="en-US"/>
              </w:rPr>
              <w:t>$711,201</w:t>
            </w:r>
          </w:p>
        </w:tc>
        <w:tc>
          <w:tcPr>
            <w:tcW w:w="1643" w:type="dxa"/>
            <w:tcBorders>
              <w:top w:val="nil"/>
              <w:left w:val="nil"/>
              <w:bottom w:val="nil"/>
            </w:tcBorders>
          </w:tcPr>
          <w:p w:rsidR="00BC3B84" w:rsidRPr="00DE40E5" w:rsidRDefault="00375B55" w:rsidP="004D4E6B">
            <w:pPr>
              <w:jc w:val="right"/>
              <w:rPr>
                <w:sz w:val="20"/>
                <w:szCs w:val="20"/>
                <w:lang w:val="en-US"/>
              </w:rPr>
            </w:pPr>
            <w:r w:rsidRPr="00DE40E5">
              <w:rPr>
                <w:sz w:val="20"/>
                <w:szCs w:val="20"/>
                <w:lang w:val="en-US"/>
              </w:rPr>
              <w:t>1.87%</w:t>
            </w:r>
          </w:p>
        </w:tc>
      </w:tr>
      <w:tr w:rsidR="00BC3B84" w:rsidRPr="00DE40E5" w:rsidTr="004D0908">
        <w:tc>
          <w:tcPr>
            <w:tcW w:w="5387" w:type="dxa"/>
            <w:tcBorders>
              <w:top w:val="nil"/>
              <w:right w:val="nil"/>
            </w:tcBorders>
            <w:vAlign w:val="center"/>
          </w:tcPr>
          <w:p w:rsidR="00BC3B84" w:rsidRPr="00DE40E5" w:rsidRDefault="00BC3B84" w:rsidP="00BC3B84">
            <w:pPr>
              <w:rPr>
                <w:sz w:val="20"/>
                <w:szCs w:val="20"/>
                <w:lang w:val="en-US"/>
              </w:rPr>
            </w:pPr>
            <w:r w:rsidRPr="00DE40E5">
              <w:rPr>
                <w:sz w:val="20"/>
                <w:szCs w:val="20"/>
                <w:lang w:val="en-US"/>
              </w:rPr>
              <w:t>Cultural &amp; Recreational Land</w:t>
            </w:r>
          </w:p>
        </w:tc>
        <w:tc>
          <w:tcPr>
            <w:tcW w:w="3544" w:type="dxa"/>
            <w:tcBorders>
              <w:top w:val="nil"/>
              <w:left w:val="nil"/>
              <w:right w:val="nil"/>
            </w:tcBorders>
          </w:tcPr>
          <w:p w:rsidR="00BC3B84" w:rsidRPr="00DE40E5" w:rsidRDefault="00375B55" w:rsidP="00375B55">
            <w:pPr>
              <w:jc w:val="right"/>
              <w:rPr>
                <w:sz w:val="20"/>
                <w:szCs w:val="20"/>
                <w:lang w:val="en-US"/>
              </w:rPr>
            </w:pPr>
            <w:r w:rsidRPr="00DE40E5">
              <w:rPr>
                <w:sz w:val="20"/>
                <w:szCs w:val="20"/>
                <w:lang w:val="en-US"/>
              </w:rPr>
              <w:t>$18,862</w:t>
            </w:r>
          </w:p>
        </w:tc>
        <w:tc>
          <w:tcPr>
            <w:tcW w:w="1643" w:type="dxa"/>
            <w:tcBorders>
              <w:top w:val="nil"/>
              <w:left w:val="nil"/>
            </w:tcBorders>
          </w:tcPr>
          <w:p w:rsidR="00BC3B84" w:rsidRPr="00DE40E5" w:rsidRDefault="00375B55" w:rsidP="004D4E6B">
            <w:pPr>
              <w:jc w:val="right"/>
              <w:rPr>
                <w:sz w:val="20"/>
                <w:szCs w:val="20"/>
                <w:lang w:val="en-US"/>
              </w:rPr>
            </w:pPr>
            <w:r w:rsidRPr="00DE40E5">
              <w:rPr>
                <w:sz w:val="20"/>
                <w:szCs w:val="20"/>
                <w:lang w:val="en-US"/>
              </w:rPr>
              <w:t>-12.41%</w:t>
            </w:r>
          </w:p>
        </w:tc>
      </w:tr>
      <w:tr w:rsidR="00BC3B84" w:rsidTr="004D0908">
        <w:tc>
          <w:tcPr>
            <w:tcW w:w="5387" w:type="dxa"/>
            <w:tcBorders>
              <w:bottom w:val="single" w:sz="12" w:space="0" w:color="auto"/>
            </w:tcBorders>
            <w:vAlign w:val="center"/>
          </w:tcPr>
          <w:p w:rsidR="00BC3B84" w:rsidRPr="00DE40E5" w:rsidRDefault="00BC3B84" w:rsidP="00BC3B84">
            <w:pPr>
              <w:rPr>
                <w:b/>
                <w:sz w:val="20"/>
                <w:szCs w:val="20"/>
                <w:lang w:val="en-US"/>
              </w:rPr>
            </w:pPr>
            <w:r w:rsidRPr="00DE40E5">
              <w:rPr>
                <w:b/>
                <w:sz w:val="20"/>
                <w:szCs w:val="20"/>
                <w:lang w:val="en-US"/>
              </w:rPr>
              <w:t>Total $ to be raised by general rates</w:t>
            </w:r>
          </w:p>
        </w:tc>
        <w:tc>
          <w:tcPr>
            <w:tcW w:w="3544" w:type="dxa"/>
            <w:tcBorders>
              <w:bottom w:val="single" w:sz="12" w:space="0" w:color="auto"/>
            </w:tcBorders>
          </w:tcPr>
          <w:p w:rsidR="00BC3B84" w:rsidRPr="002260C2" w:rsidRDefault="00375B55" w:rsidP="00375B55">
            <w:pPr>
              <w:jc w:val="right"/>
              <w:rPr>
                <w:b/>
                <w:sz w:val="20"/>
                <w:szCs w:val="20"/>
                <w:lang w:val="en-US"/>
              </w:rPr>
            </w:pPr>
            <w:r w:rsidRPr="00DE40E5">
              <w:rPr>
                <w:b/>
                <w:sz w:val="20"/>
                <w:szCs w:val="20"/>
                <w:lang w:val="en-US"/>
              </w:rPr>
              <w:t>$72,667,825</w:t>
            </w:r>
          </w:p>
        </w:tc>
        <w:tc>
          <w:tcPr>
            <w:tcW w:w="1643" w:type="dxa"/>
            <w:tcBorders>
              <w:bottom w:val="single" w:sz="12" w:space="0" w:color="auto"/>
            </w:tcBorders>
          </w:tcPr>
          <w:p w:rsidR="00BC3B84" w:rsidRPr="002260C2" w:rsidRDefault="00BC3B84" w:rsidP="004D4E6B">
            <w:pPr>
              <w:jc w:val="right"/>
              <w:rPr>
                <w:b/>
                <w:sz w:val="20"/>
                <w:szCs w:val="20"/>
                <w:lang w:val="en-US"/>
              </w:rPr>
            </w:pPr>
          </w:p>
        </w:tc>
      </w:tr>
    </w:tbl>
    <w:p w:rsidR="00681104" w:rsidRDefault="00681104" w:rsidP="00681104">
      <w:pPr>
        <w:pStyle w:val="NoSpacing"/>
      </w:pPr>
    </w:p>
    <w:p w:rsidR="00B24F63" w:rsidRDefault="00B24F63" w:rsidP="00681104">
      <w:pPr>
        <w:pStyle w:val="NoSpacing"/>
        <w:rPr>
          <w:b/>
          <w:bCs/>
        </w:rPr>
      </w:pPr>
      <w:r>
        <w:t xml:space="preserve">The associated number of properties with per annum dollar impacts with the </w:t>
      </w:r>
      <w:r w:rsidR="00DB1C63">
        <w:t>Council</w:t>
      </w:r>
      <w:r>
        <w:t xml:space="preserve"> retaining the current differential structure, applying the same rate in the dollar reveals that the majority (91.5%) of properties (primarily residential) would increase between $0-$200 per annum, and the minority (8.3%) properties (primarily commercial and industrial) would decrease by the same range, $0-&gt;$100 per annum.</w:t>
      </w:r>
    </w:p>
    <w:p w:rsidR="00B24F63" w:rsidRDefault="00B24F63" w:rsidP="00B24F63">
      <w:pPr>
        <w:rPr>
          <w:lang w:val="en-US"/>
        </w:rPr>
      </w:pPr>
    </w:p>
    <w:tbl>
      <w:tblPr>
        <w:tblStyle w:val="TableGrid"/>
        <w:tblW w:w="0" w:type="auto"/>
        <w:tblLook w:val="04A0" w:firstRow="1" w:lastRow="0" w:firstColumn="1" w:lastColumn="0" w:noHBand="0" w:noVBand="1"/>
      </w:tblPr>
      <w:tblGrid>
        <w:gridCol w:w="1498"/>
        <w:gridCol w:w="1489"/>
        <w:gridCol w:w="1510"/>
        <w:gridCol w:w="1463"/>
        <w:gridCol w:w="1518"/>
        <w:gridCol w:w="1629"/>
        <w:gridCol w:w="1349"/>
      </w:tblGrid>
      <w:tr w:rsidR="00540ACA" w:rsidRPr="00540ACA" w:rsidTr="00540ACA">
        <w:tc>
          <w:tcPr>
            <w:tcW w:w="1585" w:type="dxa"/>
            <w:shd w:val="clear" w:color="auto" w:fill="1F497D" w:themeFill="text2"/>
          </w:tcPr>
          <w:p w:rsidR="00B24F63" w:rsidRPr="00540ACA" w:rsidRDefault="00B24F63" w:rsidP="00B24F63">
            <w:pPr>
              <w:rPr>
                <w:b/>
                <w:color w:val="FFFFFF" w:themeColor="background1"/>
                <w:sz w:val="20"/>
                <w:szCs w:val="20"/>
                <w:lang w:val="en-US"/>
              </w:rPr>
            </w:pPr>
            <w:r w:rsidRPr="00540ACA">
              <w:rPr>
                <w:b/>
                <w:color w:val="FFFFFF" w:themeColor="background1"/>
                <w:sz w:val="20"/>
                <w:szCs w:val="20"/>
                <w:lang w:val="en-US"/>
              </w:rPr>
              <w:t>No Change</w:t>
            </w:r>
          </w:p>
        </w:tc>
        <w:tc>
          <w:tcPr>
            <w:tcW w:w="1543" w:type="dxa"/>
            <w:shd w:val="clear" w:color="auto" w:fill="1F497D" w:themeFill="text2"/>
          </w:tcPr>
          <w:p w:rsidR="00B24F63" w:rsidRPr="00540ACA" w:rsidRDefault="00B24F63" w:rsidP="00B24F63">
            <w:pPr>
              <w:jc w:val="center"/>
              <w:rPr>
                <w:b/>
                <w:color w:val="FFFFFF" w:themeColor="background1"/>
                <w:sz w:val="20"/>
                <w:szCs w:val="20"/>
                <w:lang w:val="en-US"/>
              </w:rPr>
            </w:pPr>
            <w:r w:rsidRPr="00540ACA">
              <w:rPr>
                <w:b/>
                <w:color w:val="FFFFFF" w:themeColor="background1"/>
                <w:sz w:val="20"/>
                <w:szCs w:val="20"/>
                <w:lang w:val="en-US"/>
              </w:rPr>
              <w:t xml:space="preserve">&gt;100 </w:t>
            </w:r>
            <w:r w:rsidR="00E9063E" w:rsidRPr="00540ACA">
              <w:rPr>
                <w:b/>
                <w:color w:val="FFFFFF" w:themeColor="background1"/>
                <w:sz w:val="20"/>
                <w:szCs w:val="20"/>
                <w:lang w:val="en-US"/>
              </w:rPr>
              <w:t>d</w:t>
            </w:r>
            <w:r w:rsidRPr="00540ACA">
              <w:rPr>
                <w:b/>
                <w:color w:val="FFFFFF" w:themeColor="background1"/>
                <w:sz w:val="20"/>
                <w:szCs w:val="20"/>
                <w:lang w:val="en-US"/>
              </w:rPr>
              <w:t>ecrease p.a.</w:t>
            </w:r>
          </w:p>
        </w:tc>
        <w:tc>
          <w:tcPr>
            <w:tcW w:w="1577" w:type="dxa"/>
            <w:shd w:val="clear" w:color="auto" w:fill="1F497D" w:themeFill="text2"/>
          </w:tcPr>
          <w:p w:rsidR="00B24F63" w:rsidRPr="00540ACA" w:rsidRDefault="00B24F63" w:rsidP="00B24F63">
            <w:pPr>
              <w:jc w:val="center"/>
              <w:rPr>
                <w:b/>
                <w:color w:val="FFFFFF" w:themeColor="background1"/>
                <w:sz w:val="20"/>
                <w:szCs w:val="20"/>
                <w:lang w:val="en-US"/>
              </w:rPr>
            </w:pPr>
            <w:r w:rsidRPr="00540ACA">
              <w:rPr>
                <w:b/>
                <w:color w:val="FFFFFF" w:themeColor="background1"/>
                <w:sz w:val="20"/>
                <w:szCs w:val="20"/>
                <w:lang w:val="en-US"/>
              </w:rPr>
              <w:t>$100 to &lt;$0 decrease p.a</w:t>
            </w:r>
            <w:r w:rsidR="00DB1C63" w:rsidRPr="00540ACA">
              <w:rPr>
                <w:b/>
                <w:color w:val="FFFFFF" w:themeColor="background1"/>
                <w:sz w:val="20"/>
                <w:szCs w:val="20"/>
                <w:lang w:val="en-US"/>
              </w:rPr>
              <w:t>.</w:t>
            </w:r>
          </w:p>
        </w:tc>
        <w:tc>
          <w:tcPr>
            <w:tcW w:w="1499" w:type="dxa"/>
            <w:shd w:val="clear" w:color="auto" w:fill="1F497D" w:themeFill="text2"/>
          </w:tcPr>
          <w:p w:rsidR="00B24F63" w:rsidRPr="00540ACA" w:rsidRDefault="00B24F63" w:rsidP="00B24F63">
            <w:pPr>
              <w:jc w:val="center"/>
              <w:rPr>
                <w:b/>
                <w:color w:val="FFFFFF" w:themeColor="background1"/>
                <w:sz w:val="20"/>
                <w:szCs w:val="20"/>
                <w:lang w:val="en-US"/>
              </w:rPr>
            </w:pPr>
            <w:r w:rsidRPr="00540ACA">
              <w:rPr>
                <w:b/>
                <w:color w:val="FFFFFF" w:themeColor="background1"/>
                <w:sz w:val="20"/>
                <w:szCs w:val="20"/>
                <w:lang w:val="en-US"/>
              </w:rPr>
              <w:t>$0 to $200 increase p.a.</w:t>
            </w:r>
          </w:p>
        </w:tc>
        <w:tc>
          <w:tcPr>
            <w:tcW w:w="1429" w:type="dxa"/>
            <w:shd w:val="clear" w:color="auto" w:fill="1F497D" w:themeFill="text2"/>
          </w:tcPr>
          <w:p w:rsidR="00B24F63" w:rsidRPr="00540ACA" w:rsidRDefault="00B24F63" w:rsidP="00B24F63">
            <w:pPr>
              <w:jc w:val="center"/>
              <w:rPr>
                <w:b/>
                <w:color w:val="FFFFFF" w:themeColor="background1"/>
                <w:sz w:val="20"/>
                <w:szCs w:val="20"/>
                <w:lang w:val="en-US"/>
              </w:rPr>
            </w:pPr>
            <w:r w:rsidRPr="00540ACA">
              <w:rPr>
                <w:b/>
                <w:color w:val="FFFFFF" w:themeColor="background1"/>
                <w:sz w:val="20"/>
                <w:szCs w:val="20"/>
                <w:lang w:val="en-US"/>
              </w:rPr>
              <w:t>$200 to $400 increase p.a.</w:t>
            </w:r>
          </w:p>
        </w:tc>
        <w:tc>
          <w:tcPr>
            <w:tcW w:w="1629" w:type="dxa"/>
            <w:shd w:val="clear" w:color="auto" w:fill="1F497D" w:themeFill="text2"/>
          </w:tcPr>
          <w:p w:rsidR="00B24F63" w:rsidRPr="00540ACA" w:rsidRDefault="00B24F63" w:rsidP="00B24F63">
            <w:pPr>
              <w:jc w:val="center"/>
              <w:rPr>
                <w:b/>
                <w:color w:val="FFFFFF" w:themeColor="background1"/>
                <w:sz w:val="20"/>
                <w:szCs w:val="20"/>
                <w:lang w:val="en-US"/>
              </w:rPr>
            </w:pPr>
            <w:r w:rsidRPr="00540ACA">
              <w:rPr>
                <w:b/>
                <w:color w:val="FFFFFF" w:themeColor="background1"/>
                <w:sz w:val="20"/>
                <w:szCs w:val="20"/>
                <w:lang w:val="en-US"/>
              </w:rPr>
              <w:t>&gt;$400 increase p.a.</w:t>
            </w:r>
          </w:p>
        </w:tc>
        <w:tc>
          <w:tcPr>
            <w:tcW w:w="1420" w:type="dxa"/>
            <w:shd w:val="clear" w:color="auto" w:fill="1F497D" w:themeFill="text2"/>
          </w:tcPr>
          <w:p w:rsidR="00B24F63" w:rsidRPr="00540ACA" w:rsidRDefault="00B24F63" w:rsidP="00B24F63">
            <w:pPr>
              <w:jc w:val="center"/>
              <w:rPr>
                <w:b/>
                <w:color w:val="FFFFFF" w:themeColor="background1"/>
                <w:sz w:val="20"/>
                <w:szCs w:val="20"/>
                <w:lang w:val="en-US"/>
              </w:rPr>
            </w:pPr>
            <w:r w:rsidRPr="00540ACA">
              <w:rPr>
                <w:b/>
                <w:color w:val="FFFFFF" w:themeColor="background1"/>
                <w:sz w:val="20"/>
                <w:szCs w:val="20"/>
                <w:lang w:val="en-US"/>
              </w:rPr>
              <w:t>Total</w:t>
            </w:r>
          </w:p>
        </w:tc>
      </w:tr>
      <w:tr w:rsidR="00B24F63" w:rsidRPr="00B24F63" w:rsidTr="00E9063E">
        <w:tc>
          <w:tcPr>
            <w:tcW w:w="1585" w:type="dxa"/>
          </w:tcPr>
          <w:p w:rsidR="00B24F63" w:rsidRPr="00B24F63" w:rsidRDefault="00B24F63" w:rsidP="00B24F63">
            <w:pPr>
              <w:rPr>
                <w:b/>
                <w:sz w:val="20"/>
                <w:szCs w:val="20"/>
                <w:lang w:val="en-US"/>
              </w:rPr>
            </w:pPr>
            <w:r w:rsidRPr="00B24F63">
              <w:rPr>
                <w:b/>
                <w:sz w:val="20"/>
                <w:szCs w:val="20"/>
                <w:lang w:val="en-US"/>
              </w:rPr>
              <w:t>Commercial</w:t>
            </w:r>
          </w:p>
        </w:tc>
        <w:tc>
          <w:tcPr>
            <w:tcW w:w="1543" w:type="dxa"/>
          </w:tcPr>
          <w:p w:rsidR="00B24F63" w:rsidRPr="00B24F63" w:rsidRDefault="00B24F63" w:rsidP="008C0038">
            <w:pPr>
              <w:tabs>
                <w:tab w:val="decimal" w:pos="1023"/>
              </w:tabs>
              <w:jc w:val="right"/>
              <w:rPr>
                <w:sz w:val="20"/>
                <w:szCs w:val="20"/>
                <w:lang w:val="en-US"/>
              </w:rPr>
            </w:pPr>
            <w:r>
              <w:rPr>
                <w:sz w:val="20"/>
                <w:szCs w:val="20"/>
                <w:lang w:val="en-US"/>
              </w:rPr>
              <w:t>1,637</w:t>
            </w:r>
          </w:p>
        </w:tc>
        <w:tc>
          <w:tcPr>
            <w:tcW w:w="1577" w:type="dxa"/>
          </w:tcPr>
          <w:p w:rsidR="00B24F63" w:rsidRPr="00B24F63" w:rsidRDefault="008C0038" w:rsidP="008C0038">
            <w:pPr>
              <w:tabs>
                <w:tab w:val="decimal" w:pos="1023"/>
              </w:tabs>
              <w:jc w:val="right"/>
              <w:rPr>
                <w:sz w:val="20"/>
                <w:szCs w:val="20"/>
                <w:lang w:val="en-US"/>
              </w:rPr>
            </w:pPr>
            <w:r>
              <w:rPr>
                <w:sz w:val="20"/>
                <w:szCs w:val="20"/>
                <w:lang w:val="en-US"/>
              </w:rPr>
              <w:t>557</w:t>
            </w:r>
          </w:p>
        </w:tc>
        <w:tc>
          <w:tcPr>
            <w:tcW w:w="1499" w:type="dxa"/>
          </w:tcPr>
          <w:p w:rsidR="00B24F63" w:rsidRPr="00B24F63" w:rsidRDefault="00B24F63" w:rsidP="008C0038">
            <w:pPr>
              <w:tabs>
                <w:tab w:val="decimal" w:pos="1023"/>
              </w:tabs>
              <w:jc w:val="right"/>
              <w:rPr>
                <w:sz w:val="20"/>
                <w:szCs w:val="20"/>
                <w:lang w:val="en-US"/>
              </w:rPr>
            </w:pPr>
          </w:p>
        </w:tc>
        <w:tc>
          <w:tcPr>
            <w:tcW w:w="1429" w:type="dxa"/>
          </w:tcPr>
          <w:p w:rsidR="00B24F63" w:rsidRPr="00B24F63" w:rsidRDefault="00B24F63" w:rsidP="008C0038">
            <w:pPr>
              <w:tabs>
                <w:tab w:val="decimal" w:pos="1023"/>
              </w:tabs>
              <w:jc w:val="right"/>
              <w:rPr>
                <w:sz w:val="20"/>
                <w:szCs w:val="20"/>
                <w:lang w:val="en-US"/>
              </w:rPr>
            </w:pPr>
          </w:p>
        </w:tc>
        <w:tc>
          <w:tcPr>
            <w:tcW w:w="1629" w:type="dxa"/>
          </w:tcPr>
          <w:p w:rsidR="00B24F63" w:rsidRPr="00B24F63" w:rsidRDefault="00B24F63" w:rsidP="008C0038">
            <w:pPr>
              <w:tabs>
                <w:tab w:val="decimal" w:pos="1023"/>
              </w:tabs>
              <w:jc w:val="right"/>
              <w:rPr>
                <w:sz w:val="20"/>
                <w:szCs w:val="20"/>
                <w:lang w:val="en-US"/>
              </w:rPr>
            </w:pPr>
          </w:p>
        </w:tc>
        <w:tc>
          <w:tcPr>
            <w:tcW w:w="1420" w:type="dxa"/>
          </w:tcPr>
          <w:p w:rsidR="00B24F63" w:rsidRPr="00B24F63" w:rsidRDefault="008C0038" w:rsidP="008C0038">
            <w:pPr>
              <w:tabs>
                <w:tab w:val="decimal" w:pos="1023"/>
              </w:tabs>
              <w:jc w:val="right"/>
              <w:rPr>
                <w:sz w:val="20"/>
                <w:szCs w:val="20"/>
                <w:lang w:val="en-US"/>
              </w:rPr>
            </w:pPr>
            <w:r>
              <w:rPr>
                <w:sz w:val="20"/>
                <w:szCs w:val="20"/>
                <w:lang w:val="en-US"/>
              </w:rPr>
              <w:t>2,194</w:t>
            </w:r>
          </w:p>
        </w:tc>
      </w:tr>
      <w:tr w:rsidR="00B24F63" w:rsidRPr="00B24F63" w:rsidTr="00E9063E">
        <w:tc>
          <w:tcPr>
            <w:tcW w:w="1585" w:type="dxa"/>
          </w:tcPr>
          <w:p w:rsidR="00B24F63" w:rsidRPr="00B24F63" w:rsidRDefault="00B24F63" w:rsidP="00B24F63">
            <w:pPr>
              <w:rPr>
                <w:b/>
                <w:sz w:val="20"/>
                <w:szCs w:val="20"/>
                <w:lang w:val="en-US"/>
              </w:rPr>
            </w:pPr>
            <w:r w:rsidRPr="00B24F63">
              <w:rPr>
                <w:b/>
                <w:sz w:val="20"/>
                <w:szCs w:val="20"/>
                <w:lang w:val="en-US"/>
              </w:rPr>
              <w:t>Cult/Rec</w:t>
            </w:r>
          </w:p>
        </w:tc>
        <w:tc>
          <w:tcPr>
            <w:tcW w:w="1543" w:type="dxa"/>
          </w:tcPr>
          <w:p w:rsidR="00B24F63" w:rsidRPr="00B24F63" w:rsidRDefault="008C0038" w:rsidP="008C0038">
            <w:pPr>
              <w:tabs>
                <w:tab w:val="decimal" w:pos="1023"/>
              </w:tabs>
              <w:jc w:val="right"/>
              <w:rPr>
                <w:sz w:val="20"/>
                <w:szCs w:val="20"/>
                <w:lang w:val="en-US"/>
              </w:rPr>
            </w:pPr>
            <w:r>
              <w:rPr>
                <w:sz w:val="20"/>
                <w:szCs w:val="20"/>
                <w:lang w:val="en-US"/>
              </w:rPr>
              <w:t>3</w:t>
            </w:r>
          </w:p>
        </w:tc>
        <w:tc>
          <w:tcPr>
            <w:tcW w:w="1577" w:type="dxa"/>
          </w:tcPr>
          <w:p w:rsidR="00B24F63" w:rsidRPr="00B24F63" w:rsidRDefault="00B24F63" w:rsidP="008C0038">
            <w:pPr>
              <w:tabs>
                <w:tab w:val="decimal" w:pos="1023"/>
              </w:tabs>
              <w:jc w:val="right"/>
              <w:rPr>
                <w:sz w:val="20"/>
                <w:szCs w:val="20"/>
                <w:lang w:val="en-US"/>
              </w:rPr>
            </w:pPr>
          </w:p>
        </w:tc>
        <w:tc>
          <w:tcPr>
            <w:tcW w:w="1499" w:type="dxa"/>
          </w:tcPr>
          <w:p w:rsidR="00B24F63" w:rsidRPr="00B24F63" w:rsidRDefault="00B24F63" w:rsidP="008C0038">
            <w:pPr>
              <w:tabs>
                <w:tab w:val="decimal" w:pos="1023"/>
              </w:tabs>
              <w:jc w:val="right"/>
              <w:rPr>
                <w:sz w:val="20"/>
                <w:szCs w:val="20"/>
                <w:lang w:val="en-US"/>
              </w:rPr>
            </w:pPr>
          </w:p>
        </w:tc>
        <w:tc>
          <w:tcPr>
            <w:tcW w:w="1429" w:type="dxa"/>
          </w:tcPr>
          <w:p w:rsidR="00B24F63" w:rsidRPr="00B24F63" w:rsidRDefault="00B24F63" w:rsidP="008C0038">
            <w:pPr>
              <w:tabs>
                <w:tab w:val="decimal" w:pos="1023"/>
              </w:tabs>
              <w:jc w:val="right"/>
              <w:rPr>
                <w:sz w:val="20"/>
                <w:szCs w:val="20"/>
                <w:lang w:val="en-US"/>
              </w:rPr>
            </w:pPr>
          </w:p>
        </w:tc>
        <w:tc>
          <w:tcPr>
            <w:tcW w:w="1629" w:type="dxa"/>
          </w:tcPr>
          <w:p w:rsidR="00B24F63" w:rsidRPr="00B24F63" w:rsidRDefault="00B24F63" w:rsidP="008C0038">
            <w:pPr>
              <w:tabs>
                <w:tab w:val="decimal" w:pos="1023"/>
              </w:tabs>
              <w:jc w:val="right"/>
              <w:rPr>
                <w:sz w:val="20"/>
                <w:szCs w:val="20"/>
                <w:lang w:val="en-US"/>
              </w:rPr>
            </w:pPr>
          </w:p>
        </w:tc>
        <w:tc>
          <w:tcPr>
            <w:tcW w:w="1420" w:type="dxa"/>
          </w:tcPr>
          <w:p w:rsidR="00B24F63" w:rsidRPr="00B24F63" w:rsidRDefault="008C0038" w:rsidP="008C0038">
            <w:pPr>
              <w:tabs>
                <w:tab w:val="decimal" w:pos="1023"/>
              </w:tabs>
              <w:jc w:val="right"/>
              <w:rPr>
                <w:sz w:val="20"/>
                <w:szCs w:val="20"/>
                <w:lang w:val="en-US"/>
              </w:rPr>
            </w:pPr>
            <w:r>
              <w:rPr>
                <w:sz w:val="20"/>
                <w:szCs w:val="20"/>
                <w:lang w:val="en-US"/>
              </w:rPr>
              <w:t>3</w:t>
            </w:r>
          </w:p>
        </w:tc>
      </w:tr>
      <w:tr w:rsidR="00B24F63" w:rsidRPr="00B24F63" w:rsidTr="00E9063E">
        <w:tc>
          <w:tcPr>
            <w:tcW w:w="1585" w:type="dxa"/>
          </w:tcPr>
          <w:p w:rsidR="00B24F63" w:rsidRPr="00B24F63" w:rsidRDefault="00B24F63" w:rsidP="00B24F63">
            <w:pPr>
              <w:rPr>
                <w:b/>
                <w:sz w:val="20"/>
                <w:szCs w:val="20"/>
                <w:lang w:val="en-US"/>
              </w:rPr>
            </w:pPr>
            <w:r w:rsidRPr="00B24F63">
              <w:rPr>
                <w:b/>
                <w:sz w:val="20"/>
                <w:szCs w:val="20"/>
                <w:lang w:val="en-US"/>
              </w:rPr>
              <w:t>Industrial</w:t>
            </w:r>
          </w:p>
        </w:tc>
        <w:tc>
          <w:tcPr>
            <w:tcW w:w="1543" w:type="dxa"/>
          </w:tcPr>
          <w:p w:rsidR="00B24F63" w:rsidRPr="00B24F63" w:rsidRDefault="008C0038" w:rsidP="008C0038">
            <w:pPr>
              <w:tabs>
                <w:tab w:val="decimal" w:pos="1023"/>
              </w:tabs>
              <w:jc w:val="right"/>
              <w:rPr>
                <w:sz w:val="20"/>
                <w:szCs w:val="20"/>
                <w:lang w:val="en-US"/>
              </w:rPr>
            </w:pPr>
            <w:r>
              <w:rPr>
                <w:sz w:val="20"/>
                <w:szCs w:val="20"/>
                <w:lang w:val="en-US"/>
              </w:rPr>
              <w:t>1,206</w:t>
            </w:r>
          </w:p>
        </w:tc>
        <w:tc>
          <w:tcPr>
            <w:tcW w:w="1577" w:type="dxa"/>
          </w:tcPr>
          <w:p w:rsidR="00B24F63" w:rsidRPr="00B24F63" w:rsidRDefault="008C0038" w:rsidP="008C0038">
            <w:pPr>
              <w:tabs>
                <w:tab w:val="decimal" w:pos="1023"/>
              </w:tabs>
              <w:jc w:val="right"/>
              <w:rPr>
                <w:sz w:val="20"/>
                <w:szCs w:val="20"/>
                <w:lang w:val="en-US"/>
              </w:rPr>
            </w:pPr>
            <w:r>
              <w:rPr>
                <w:sz w:val="20"/>
                <w:szCs w:val="20"/>
                <w:lang w:val="en-US"/>
              </w:rPr>
              <w:t>755</w:t>
            </w:r>
          </w:p>
        </w:tc>
        <w:tc>
          <w:tcPr>
            <w:tcW w:w="1499" w:type="dxa"/>
          </w:tcPr>
          <w:p w:rsidR="00B24F63" w:rsidRPr="00B24F63" w:rsidRDefault="00B24F63" w:rsidP="008C0038">
            <w:pPr>
              <w:tabs>
                <w:tab w:val="decimal" w:pos="1023"/>
              </w:tabs>
              <w:jc w:val="right"/>
              <w:rPr>
                <w:sz w:val="20"/>
                <w:szCs w:val="20"/>
                <w:lang w:val="en-US"/>
              </w:rPr>
            </w:pPr>
          </w:p>
        </w:tc>
        <w:tc>
          <w:tcPr>
            <w:tcW w:w="1429" w:type="dxa"/>
          </w:tcPr>
          <w:p w:rsidR="00B24F63" w:rsidRPr="00B24F63" w:rsidRDefault="00B24F63" w:rsidP="008C0038">
            <w:pPr>
              <w:tabs>
                <w:tab w:val="decimal" w:pos="1023"/>
              </w:tabs>
              <w:jc w:val="right"/>
              <w:rPr>
                <w:sz w:val="20"/>
                <w:szCs w:val="20"/>
                <w:lang w:val="en-US"/>
              </w:rPr>
            </w:pPr>
          </w:p>
        </w:tc>
        <w:tc>
          <w:tcPr>
            <w:tcW w:w="1629" w:type="dxa"/>
          </w:tcPr>
          <w:p w:rsidR="00B24F63" w:rsidRPr="00B24F63" w:rsidRDefault="00B24F63" w:rsidP="008C0038">
            <w:pPr>
              <w:tabs>
                <w:tab w:val="decimal" w:pos="1023"/>
              </w:tabs>
              <w:jc w:val="right"/>
              <w:rPr>
                <w:sz w:val="20"/>
                <w:szCs w:val="20"/>
                <w:lang w:val="en-US"/>
              </w:rPr>
            </w:pPr>
          </w:p>
        </w:tc>
        <w:tc>
          <w:tcPr>
            <w:tcW w:w="1420" w:type="dxa"/>
          </w:tcPr>
          <w:p w:rsidR="00B24F63" w:rsidRPr="00B24F63" w:rsidRDefault="008C0038" w:rsidP="008C0038">
            <w:pPr>
              <w:tabs>
                <w:tab w:val="decimal" w:pos="1023"/>
              </w:tabs>
              <w:jc w:val="right"/>
              <w:rPr>
                <w:sz w:val="20"/>
                <w:szCs w:val="20"/>
                <w:lang w:val="en-US"/>
              </w:rPr>
            </w:pPr>
            <w:r>
              <w:rPr>
                <w:sz w:val="20"/>
                <w:szCs w:val="20"/>
                <w:lang w:val="en-US"/>
              </w:rPr>
              <w:t>1,961</w:t>
            </w:r>
          </w:p>
        </w:tc>
      </w:tr>
      <w:tr w:rsidR="00B24F63" w:rsidRPr="00B24F63" w:rsidTr="00E9063E">
        <w:tc>
          <w:tcPr>
            <w:tcW w:w="1585" w:type="dxa"/>
          </w:tcPr>
          <w:p w:rsidR="00B24F63" w:rsidRPr="00B24F63" w:rsidRDefault="00B24F63" w:rsidP="00B24F63">
            <w:pPr>
              <w:rPr>
                <w:b/>
                <w:sz w:val="20"/>
                <w:szCs w:val="20"/>
                <w:lang w:val="en-US"/>
              </w:rPr>
            </w:pPr>
            <w:r w:rsidRPr="00B24F63">
              <w:rPr>
                <w:b/>
                <w:sz w:val="20"/>
                <w:szCs w:val="20"/>
                <w:lang w:val="en-US"/>
              </w:rPr>
              <w:t>Residential</w:t>
            </w:r>
          </w:p>
        </w:tc>
        <w:tc>
          <w:tcPr>
            <w:tcW w:w="1543" w:type="dxa"/>
          </w:tcPr>
          <w:p w:rsidR="00B24F63" w:rsidRPr="00B24F63" w:rsidRDefault="00B24F63" w:rsidP="008C0038">
            <w:pPr>
              <w:tabs>
                <w:tab w:val="decimal" w:pos="1023"/>
              </w:tabs>
              <w:jc w:val="right"/>
              <w:rPr>
                <w:sz w:val="20"/>
                <w:szCs w:val="20"/>
                <w:lang w:val="en-US"/>
              </w:rPr>
            </w:pPr>
          </w:p>
        </w:tc>
        <w:tc>
          <w:tcPr>
            <w:tcW w:w="1577" w:type="dxa"/>
          </w:tcPr>
          <w:p w:rsidR="00B24F63" w:rsidRPr="00B24F63" w:rsidRDefault="00B24F63" w:rsidP="008C0038">
            <w:pPr>
              <w:tabs>
                <w:tab w:val="decimal" w:pos="1023"/>
              </w:tabs>
              <w:jc w:val="right"/>
              <w:rPr>
                <w:sz w:val="20"/>
                <w:szCs w:val="20"/>
                <w:lang w:val="en-US"/>
              </w:rPr>
            </w:pPr>
          </w:p>
        </w:tc>
        <w:tc>
          <w:tcPr>
            <w:tcW w:w="1499" w:type="dxa"/>
          </w:tcPr>
          <w:p w:rsidR="00B24F63" w:rsidRPr="00B24F63" w:rsidRDefault="008C0038" w:rsidP="008C0038">
            <w:pPr>
              <w:tabs>
                <w:tab w:val="decimal" w:pos="1023"/>
              </w:tabs>
              <w:jc w:val="right"/>
              <w:rPr>
                <w:sz w:val="20"/>
                <w:szCs w:val="20"/>
                <w:lang w:val="en-US"/>
              </w:rPr>
            </w:pPr>
            <w:r>
              <w:rPr>
                <w:sz w:val="20"/>
                <w:szCs w:val="20"/>
                <w:lang w:val="en-US"/>
              </w:rPr>
              <w:t>45,122</w:t>
            </w:r>
          </w:p>
        </w:tc>
        <w:tc>
          <w:tcPr>
            <w:tcW w:w="1429" w:type="dxa"/>
          </w:tcPr>
          <w:p w:rsidR="00B24F63" w:rsidRPr="00B24F63" w:rsidRDefault="008C0038" w:rsidP="008C0038">
            <w:pPr>
              <w:tabs>
                <w:tab w:val="decimal" w:pos="1023"/>
              </w:tabs>
              <w:jc w:val="right"/>
              <w:rPr>
                <w:sz w:val="20"/>
                <w:szCs w:val="20"/>
                <w:lang w:val="en-US"/>
              </w:rPr>
            </w:pPr>
            <w:r>
              <w:rPr>
                <w:sz w:val="20"/>
                <w:szCs w:val="20"/>
                <w:lang w:val="en-US"/>
              </w:rPr>
              <w:t>8</w:t>
            </w:r>
          </w:p>
        </w:tc>
        <w:tc>
          <w:tcPr>
            <w:tcW w:w="1629" w:type="dxa"/>
          </w:tcPr>
          <w:p w:rsidR="00B24F63" w:rsidRPr="00B24F63" w:rsidRDefault="008C0038" w:rsidP="008C0038">
            <w:pPr>
              <w:tabs>
                <w:tab w:val="decimal" w:pos="1023"/>
              </w:tabs>
              <w:jc w:val="right"/>
              <w:rPr>
                <w:sz w:val="20"/>
                <w:szCs w:val="20"/>
                <w:lang w:val="en-US"/>
              </w:rPr>
            </w:pPr>
            <w:r>
              <w:rPr>
                <w:sz w:val="20"/>
                <w:szCs w:val="20"/>
                <w:lang w:val="en-US"/>
              </w:rPr>
              <w:t>2</w:t>
            </w:r>
          </w:p>
        </w:tc>
        <w:tc>
          <w:tcPr>
            <w:tcW w:w="1420" w:type="dxa"/>
          </w:tcPr>
          <w:p w:rsidR="00B24F63" w:rsidRPr="00B24F63" w:rsidRDefault="008C0038" w:rsidP="008C0038">
            <w:pPr>
              <w:tabs>
                <w:tab w:val="decimal" w:pos="1023"/>
              </w:tabs>
              <w:jc w:val="right"/>
              <w:rPr>
                <w:sz w:val="20"/>
                <w:szCs w:val="20"/>
                <w:lang w:val="en-US"/>
              </w:rPr>
            </w:pPr>
            <w:r>
              <w:rPr>
                <w:sz w:val="20"/>
                <w:szCs w:val="20"/>
                <w:lang w:val="en-US"/>
              </w:rPr>
              <w:t>45,132</w:t>
            </w:r>
          </w:p>
        </w:tc>
      </w:tr>
      <w:tr w:rsidR="00B24F63" w:rsidRPr="00B24F63" w:rsidTr="00E9063E">
        <w:trPr>
          <w:trHeight w:val="322"/>
        </w:trPr>
        <w:tc>
          <w:tcPr>
            <w:tcW w:w="1585" w:type="dxa"/>
          </w:tcPr>
          <w:p w:rsidR="00B24F63" w:rsidRPr="00B24F63" w:rsidRDefault="00B24F63" w:rsidP="00B24F63">
            <w:pPr>
              <w:rPr>
                <w:b/>
                <w:sz w:val="20"/>
                <w:szCs w:val="20"/>
                <w:lang w:val="en-US"/>
              </w:rPr>
            </w:pPr>
            <w:r w:rsidRPr="00B24F63">
              <w:rPr>
                <w:b/>
                <w:sz w:val="20"/>
                <w:szCs w:val="20"/>
                <w:lang w:val="en-US"/>
              </w:rPr>
              <w:t>Vacant Land</w:t>
            </w:r>
          </w:p>
        </w:tc>
        <w:tc>
          <w:tcPr>
            <w:tcW w:w="1543" w:type="dxa"/>
          </w:tcPr>
          <w:p w:rsidR="00B24F63" w:rsidRPr="00B24F63" w:rsidRDefault="00B24F63" w:rsidP="008C0038">
            <w:pPr>
              <w:tabs>
                <w:tab w:val="decimal" w:pos="1023"/>
              </w:tabs>
              <w:jc w:val="right"/>
              <w:rPr>
                <w:sz w:val="20"/>
                <w:szCs w:val="20"/>
                <w:lang w:val="en-US"/>
              </w:rPr>
            </w:pPr>
          </w:p>
        </w:tc>
        <w:tc>
          <w:tcPr>
            <w:tcW w:w="1577" w:type="dxa"/>
          </w:tcPr>
          <w:p w:rsidR="00B24F63" w:rsidRPr="00B24F63" w:rsidRDefault="00B24F63" w:rsidP="008C0038">
            <w:pPr>
              <w:tabs>
                <w:tab w:val="decimal" w:pos="1023"/>
              </w:tabs>
              <w:jc w:val="right"/>
              <w:rPr>
                <w:sz w:val="20"/>
                <w:szCs w:val="20"/>
                <w:lang w:val="en-US"/>
              </w:rPr>
            </w:pPr>
          </w:p>
        </w:tc>
        <w:tc>
          <w:tcPr>
            <w:tcW w:w="1499" w:type="dxa"/>
          </w:tcPr>
          <w:p w:rsidR="00B24F63" w:rsidRPr="00B24F63" w:rsidRDefault="008C0038" w:rsidP="008C0038">
            <w:pPr>
              <w:tabs>
                <w:tab w:val="decimal" w:pos="1023"/>
              </w:tabs>
              <w:jc w:val="right"/>
              <w:rPr>
                <w:sz w:val="20"/>
                <w:szCs w:val="20"/>
                <w:lang w:val="en-US"/>
              </w:rPr>
            </w:pPr>
            <w:r>
              <w:rPr>
                <w:sz w:val="20"/>
                <w:szCs w:val="20"/>
                <w:lang w:val="en-US"/>
              </w:rPr>
              <w:t>256</w:t>
            </w:r>
          </w:p>
        </w:tc>
        <w:tc>
          <w:tcPr>
            <w:tcW w:w="1429" w:type="dxa"/>
          </w:tcPr>
          <w:p w:rsidR="00B24F63" w:rsidRPr="00B24F63" w:rsidRDefault="008C0038" w:rsidP="008C0038">
            <w:pPr>
              <w:tabs>
                <w:tab w:val="decimal" w:pos="1023"/>
              </w:tabs>
              <w:jc w:val="right"/>
              <w:rPr>
                <w:sz w:val="20"/>
                <w:szCs w:val="20"/>
                <w:lang w:val="en-US"/>
              </w:rPr>
            </w:pPr>
            <w:r>
              <w:rPr>
                <w:sz w:val="20"/>
                <w:szCs w:val="20"/>
                <w:lang w:val="en-US"/>
              </w:rPr>
              <w:t>9</w:t>
            </w:r>
          </w:p>
        </w:tc>
        <w:tc>
          <w:tcPr>
            <w:tcW w:w="1629" w:type="dxa"/>
          </w:tcPr>
          <w:p w:rsidR="00B24F63" w:rsidRPr="00B24F63" w:rsidRDefault="008C0038" w:rsidP="008C0038">
            <w:pPr>
              <w:tabs>
                <w:tab w:val="decimal" w:pos="1023"/>
              </w:tabs>
              <w:jc w:val="right"/>
              <w:rPr>
                <w:sz w:val="20"/>
                <w:szCs w:val="20"/>
                <w:lang w:val="en-US"/>
              </w:rPr>
            </w:pPr>
            <w:r>
              <w:rPr>
                <w:sz w:val="20"/>
                <w:szCs w:val="20"/>
                <w:lang w:val="en-US"/>
              </w:rPr>
              <w:t>1</w:t>
            </w:r>
          </w:p>
        </w:tc>
        <w:tc>
          <w:tcPr>
            <w:tcW w:w="1420" w:type="dxa"/>
          </w:tcPr>
          <w:p w:rsidR="00B24F63" w:rsidRPr="00B24F63" w:rsidRDefault="008C0038" w:rsidP="008C0038">
            <w:pPr>
              <w:tabs>
                <w:tab w:val="decimal" w:pos="1023"/>
              </w:tabs>
              <w:jc w:val="right"/>
              <w:rPr>
                <w:sz w:val="20"/>
                <w:szCs w:val="20"/>
                <w:lang w:val="en-US"/>
              </w:rPr>
            </w:pPr>
            <w:r>
              <w:rPr>
                <w:sz w:val="20"/>
                <w:szCs w:val="20"/>
                <w:lang w:val="en-US"/>
              </w:rPr>
              <w:t>266</w:t>
            </w:r>
          </w:p>
        </w:tc>
      </w:tr>
      <w:tr w:rsidR="00E9063E" w:rsidRPr="008C0038" w:rsidTr="00E9063E">
        <w:tc>
          <w:tcPr>
            <w:tcW w:w="1585" w:type="dxa"/>
            <w:shd w:val="clear" w:color="auto" w:fill="D9D9D9" w:themeFill="background1" w:themeFillShade="D9"/>
          </w:tcPr>
          <w:p w:rsidR="00B24F63" w:rsidRPr="008C0038" w:rsidRDefault="00B24F63" w:rsidP="00B24F63">
            <w:pPr>
              <w:rPr>
                <w:sz w:val="20"/>
                <w:szCs w:val="20"/>
                <w:lang w:val="en-US"/>
              </w:rPr>
            </w:pPr>
            <w:r w:rsidRPr="008C0038">
              <w:rPr>
                <w:sz w:val="20"/>
                <w:szCs w:val="20"/>
                <w:lang w:val="en-US"/>
              </w:rPr>
              <w:t>Total</w:t>
            </w:r>
          </w:p>
        </w:tc>
        <w:tc>
          <w:tcPr>
            <w:tcW w:w="1543" w:type="dxa"/>
            <w:shd w:val="clear" w:color="auto" w:fill="D9D9D9" w:themeFill="background1" w:themeFillShade="D9"/>
          </w:tcPr>
          <w:p w:rsidR="00B24F63" w:rsidRPr="008C0038" w:rsidRDefault="008C0038" w:rsidP="008C0038">
            <w:pPr>
              <w:tabs>
                <w:tab w:val="decimal" w:pos="1023"/>
              </w:tabs>
              <w:jc w:val="right"/>
              <w:rPr>
                <w:sz w:val="20"/>
                <w:szCs w:val="20"/>
                <w:lang w:val="en-US"/>
              </w:rPr>
            </w:pPr>
            <w:r w:rsidRPr="008C0038">
              <w:rPr>
                <w:sz w:val="20"/>
                <w:szCs w:val="20"/>
                <w:lang w:val="en-US"/>
              </w:rPr>
              <w:fldChar w:fldCharType="begin"/>
            </w:r>
            <w:r w:rsidRPr="008C0038">
              <w:rPr>
                <w:sz w:val="20"/>
                <w:szCs w:val="20"/>
                <w:lang w:val="en-US"/>
              </w:rPr>
              <w:instrText xml:space="preserve"> =SUM(ABOVE) </w:instrText>
            </w:r>
            <w:r w:rsidRPr="008C0038">
              <w:rPr>
                <w:sz w:val="20"/>
                <w:szCs w:val="20"/>
                <w:lang w:val="en-US"/>
              </w:rPr>
              <w:fldChar w:fldCharType="separate"/>
            </w:r>
            <w:r w:rsidRPr="008C0038">
              <w:rPr>
                <w:noProof/>
                <w:sz w:val="20"/>
                <w:szCs w:val="20"/>
                <w:lang w:val="en-US"/>
              </w:rPr>
              <w:t>2,846</w:t>
            </w:r>
            <w:r w:rsidRPr="008C0038">
              <w:rPr>
                <w:sz w:val="20"/>
                <w:szCs w:val="20"/>
                <w:lang w:val="en-US"/>
              </w:rPr>
              <w:fldChar w:fldCharType="end"/>
            </w:r>
          </w:p>
        </w:tc>
        <w:tc>
          <w:tcPr>
            <w:tcW w:w="1577" w:type="dxa"/>
            <w:shd w:val="clear" w:color="auto" w:fill="D9D9D9" w:themeFill="background1" w:themeFillShade="D9"/>
          </w:tcPr>
          <w:p w:rsidR="00B24F63" w:rsidRPr="008C0038" w:rsidRDefault="008C0038" w:rsidP="008C0038">
            <w:pPr>
              <w:tabs>
                <w:tab w:val="decimal" w:pos="1023"/>
              </w:tabs>
              <w:jc w:val="right"/>
              <w:rPr>
                <w:sz w:val="20"/>
                <w:szCs w:val="20"/>
                <w:lang w:val="en-US"/>
              </w:rPr>
            </w:pPr>
            <w:r w:rsidRPr="008C0038">
              <w:rPr>
                <w:sz w:val="20"/>
                <w:szCs w:val="20"/>
                <w:lang w:val="en-US"/>
              </w:rPr>
              <w:t>1,312</w:t>
            </w:r>
          </w:p>
        </w:tc>
        <w:tc>
          <w:tcPr>
            <w:tcW w:w="1499" w:type="dxa"/>
            <w:shd w:val="clear" w:color="auto" w:fill="D9D9D9" w:themeFill="background1" w:themeFillShade="D9"/>
          </w:tcPr>
          <w:p w:rsidR="00B24F63" w:rsidRPr="008C0038" w:rsidRDefault="008C0038" w:rsidP="008C0038">
            <w:pPr>
              <w:tabs>
                <w:tab w:val="decimal" w:pos="1023"/>
              </w:tabs>
              <w:jc w:val="right"/>
              <w:rPr>
                <w:sz w:val="20"/>
                <w:szCs w:val="20"/>
                <w:lang w:val="en-US"/>
              </w:rPr>
            </w:pPr>
            <w:r w:rsidRPr="008C0038">
              <w:rPr>
                <w:sz w:val="20"/>
                <w:szCs w:val="20"/>
                <w:lang w:val="en-US"/>
              </w:rPr>
              <w:t>45,378</w:t>
            </w:r>
          </w:p>
        </w:tc>
        <w:tc>
          <w:tcPr>
            <w:tcW w:w="1429" w:type="dxa"/>
            <w:shd w:val="clear" w:color="auto" w:fill="D9D9D9" w:themeFill="background1" w:themeFillShade="D9"/>
          </w:tcPr>
          <w:p w:rsidR="00B24F63" w:rsidRPr="008C0038" w:rsidRDefault="008C0038" w:rsidP="008C0038">
            <w:pPr>
              <w:tabs>
                <w:tab w:val="decimal" w:pos="1023"/>
              </w:tabs>
              <w:jc w:val="right"/>
              <w:rPr>
                <w:sz w:val="20"/>
                <w:szCs w:val="20"/>
                <w:lang w:val="en-US"/>
              </w:rPr>
            </w:pPr>
            <w:r w:rsidRPr="008C0038">
              <w:rPr>
                <w:sz w:val="20"/>
                <w:szCs w:val="20"/>
                <w:lang w:val="en-US"/>
              </w:rPr>
              <w:t>17</w:t>
            </w:r>
          </w:p>
        </w:tc>
        <w:tc>
          <w:tcPr>
            <w:tcW w:w="1629" w:type="dxa"/>
            <w:shd w:val="clear" w:color="auto" w:fill="D9D9D9" w:themeFill="background1" w:themeFillShade="D9"/>
          </w:tcPr>
          <w:p w:rsidR="00B24F63" w:rsidRPr="008C0038" w:rsidRDefault="008C0038" w:rsidP="008C0038">
            <w:pPr>
              <w:tabs>
                <w:tab w:val="decimal" w:pos="1023"/>
              </w:tabs>
              <w:jc w:val="right"/>
              <w:rPr>
                <w:sz w:val="20"/>
                <w:szCs w:val="20"/>
                <w:lang w:val="en-US"/>
              </w:rPr>
            </w:pPr>
            <w:r w:rsidRPr="008C0038">
              <w:rPr>
                <w:sz w:val="20"/>
                <w:szCs w:val="20"/>
                <w:lang w:val="en-US"/>
              </w:rPr>
              <w:t>3</w:t>
            </w:r>
          </w:p>
        </w:tc>
        <w:tc>
          <w:tcPr>
            <w:tcW w:w="1420" w:type="dxa"/>
            <w:shd w:val="clear" w:color="auto" w:fill="D9D9D9" w:themeFill="background1" w:themeFillShade="D9"/>
          </w:tcPr>
          <w:p w:rsidR="00B24F63" w:rsidRPr="008C0038" w:rsidRDefault="008C0038" w:rsidP="008C0038">
            <w:pPr>
              <w:tabs>
                <w:tab w:val="decimal" w:pos="1023"/>
              </w:tabs>
              <w:jc w:val="right"/>
              <w:rPr>
                <w:sz w:val="20"/>
                <w:szCs w:val="20"/>
                <w:lang w:val="en-US"/>
              </w:rPr>
            </w:pPr>
            <w:r w:rsidRPr="008C0038">
              <w:rPr>
                <w:sz w:val="20"/>
                <w:szCs w:val="20"/>
                <w:lang w:val="en-US"/>
              </w:rPr>
              <w:t>49,556</w:t>
            </w:r>
          </w:p>
        </w:tc>
      </w:tr>
      <w:tr w:rsidR="00B24F63" w:rsidRPr="00B24F63" w:rsidTr="00E9063E">
        <w:tc>
          <w:tcPr>
            <w:tcW w:w="1585" w:type="dxa"/>
          </w:tcPr>
          <w:p w:rsidR="00B24F63" w:rsidRPr="00B24F63" w:rsidRDefault="00B24F63" w:rsidP="00B24F63">
            <w:pPr>
              <w:rPr>
                <w:b/>
                <w:sz w:val="20"/>
                <w:szCs w:val="20"/>
                <w:lang w:val="en-US"/>
              </w:rPr>
            </w:pPr>
            <w:r w:rsidRPr="00B24F63">
              <w:rPr>
                <w:b/>
                <w:sz w:val="20"/>
                <w:szCs w:val="20"/>
                <w:lang w:val="en-US"/>
              </w:rPr>
              <w:t>% Properties</w:t>
            </w:r>
          </w:p>
        </w:tc>
        <w:tc>
          <w:tcPr>
            <w:tcW w:w="1543" w:type="dxa"/>
          </w:tcPr>
          <w:p w:rsidR="00B24F63" w:rsidRPr="00B24F63" w:rsidRDefault="008C0038" w:rsidP="008C0038">
            <w:pPr>
              <w:tabs>
                <w:tab w:val="decimal" w:pos="1023"/>
              </w:tabs>
              <w:jc w:val="right"/>
              <w:rPr>
                <w:sz w:val="20"/>
                <w:szCs w:val="20"/>
                <w:lang w:val="en-US"/>
              </w:rPr>
            </w:pPr>
            <w:r>
              <w:rPr>
                <w:sz w:val="20"/>
                <w:szCs w:val="20"/>
                <w:lang w:val="en-US"/>
              </w:rPr>
              <w:t>5.7</w:t>
            </w:r>
          </w:p>
        </w:tc>
        <w:tc>
          <w:tcPr>
            <w:tcW w:w="1577" w:type="dxa"/>
          </w:tcPr>
          <w:p w:rsidR="00B24F63" w:rsidRPr="00B24F63" w:rsidRDefault="008C0038" w:rsidP="008C0038">
            <w:pPr>
              <w:tabs>
                <w:tab w:val="decimal" w:pos="1023"/>
              </w:tabs>
              <w:jc w:val="right"/>
              <w:rPr>
                <w:sz w:val="20"/>
                <w:szCs w:val="20"/>
                <w:lang w:val="en-US"/>
              </w:rPr>
            </w:pPr>
            <w:r>
              <w:rPr>
                <w:sz w:val="20"/>
                <w:szCs w:val="20"/>
                <w:lang w:val="en-US"/>
              </w:rPr>
              <w:t>2.6</w:t>
            </w:r>
          </w:p>
        </w:tc>
        <w:tc>
          <w:tcPr>
            <w:tcW w:w="1499" w:type="dxa"/>
          </w:tcPr>
          <w:p w:rsidR="00B24F63" w:rsidRPr="00B24F63" w:rsidRDefault="008C0038" w:rsidP="008C0038">
            <w:pPr>
              <w:tabs>
                <w:tab w:val="decimal" w:pos="1023"/>
              </w:tabs>
              <w:jc w:val="right"/>
              <w:rPr>
                <w:sz w:val="20"/>
                <w:szCs w:val="20"/>
                <w:lang w:val="en-US"/>
              </w:rPr>
            </w:pPr>
            <w:r>
              <w:rPr>
                <w:sz w:val="20"/>
                <w:szCs w:val="20"/>
                <w:lang w:val="en-US"/>
              </w:rPr>
              <w:t>91.5</w:t>
            </w:r>
          </w:p>
        </w:tc>
        <w:tc>
          <w:tcPr>
            <w:tcW w:w="1429" w:type="dxa"/>
          </w:tcPr>
          <w:p w:rsidR="00B24F63" w:rsidRPr="00B24F63" w:rsidRDefault="008C0038" w:rsidP="008C0038">
            <w:pPr>
              <w:tabs>
                <w:tab w:val="decimal" w:pos="1023"/>
              </w:tabs>
              <w:jc w:val="right"/>
              <w:rPr>
                <w:sz w:val="20"/>
                <w:szCs w:val="20"/>
                <w:lang w:val="en-US"/>
              </w:rPr>
            </w:pPr>
            <w:r>
              <w:rPr>
                <w:sz w:val="20"/>
                <w:szCs w:val="20"/>
                <w:lang w:val="en-US"/>
              </w:rPr>
              <w:t>0.03</w:t>
            </w:r>
          </w:p>
        </w:tc>
        <w:tc>
          <w:tcPr>
            <w:tcW w:w="1629" w:type="dxa"/>
          </w:tcPr>
          <w:p w:rsidR="00B24F63" w:rsidRPr="00B24F63" w:rsidRDefault="008C0038" w:rsidP="008C0038">
            <w:pPr>
              <w:tabs>
                <w:tab w:val="decimal" w:pos="1023"/>
              </w:tabs>
              <w:jc w:val="right"/>
              <w:rPr>
                <w:sz w:val="20"/>
                <w:szCs w:val="20"/>
                <w:lang w:val="en-US"/>
              </w:rPr>
            </w:pPr>
            <w:r>
              <w:rPr>
                <w:sz w:val="20"/>
                <w:szCs w:val="20"/>
                <w:lang w:val="en-US"/>
              </w:rPr>
              <w:t>0.006</w:t>
            </w:r>
          </w:p>
        </w:tc>
        <w:tc>
          <w:tcPr>
            <w:tcW w:w="1420" w:type="dxa"/>
          </w:tcPr>
          <w:p w:rsidR="00B24F63" w:rsidRPr="00B24F63" w:rsidRDefault="008C0038" w:rsidP="008C0038">
            <w:pPr>
              <w:tabs>
                <w:tab w:val="decimal" w:pos="1023"/>
              </w:tabs>
              <w:jc w:val="right"/>
              <w:rPr>
                <w:sz w:val="20"/>
                <w:szCs w:val="20"/>
                <w:lang w:val="en-US"/>
              </w:rPr>
            </w:pPr>
            <w:r>
              <w:rPr>
                <w:sz w:val="20"/>
                <w:szCs w:val="20"/>
                <w:lang w:val="en-US"/>
              </w:rPr>
              <w:t>100</w:t>
            </w:r>
          </w:p>
        </w:tc>
      </w:tr>
    </w:tbl>
    <w:p w:rsidR="00B24F63" w:rsidRPr="00B24F63" w:rsidRDefault="00B24F63" w:rsidP="00B24F63">
      <w:pPr>
        <w:rPr>
          <w:lang w:val="en-US"/>
        </w:rPr>
      </w:pPr>
    </w:p>
    <w:p w:rsidR="00B24F63" w:rsidRDefault="008C0038" w:rsidP="00681104">
      <w:pPr>
        <w:pStyle w:val="NoSpacing"/>
        <w:rPr>
          <w:b/>
          <w:bCs/>
        </w:rPr>
      </w:pPr>
      <w:r>
        <w:t xml:space="preserve">The table below demonstrates the outcomes across the various type or classes of land, with the expansion of differential rating </w:t>
      </w:r>
      <w:r w:rsidR="00E9063E">
        <w:t xml:space="preserve">at </w:t>
      </w:r>
      <w:r>
        <w:t>20% for commercial and industrial properties.</w:t>
      </w:r>
    </w:p>
    <w:p w:rsidR="008C0038" w:rsidRDefault="008C0038" w:rsidP="008C0038">
      <w:pPr>
        <w:rPr>
          <w:lang w:val="en-US"/>
        </w:rPr>
      </w:pPr>
    </w:p>
    <w:tbl>
      <w:tblPr>
        <w:tblStyle w:val="TableGrid"/>
        <w:tblW w:w="0" w:type="auto"/>
        <w:tblLook w:val="04A0" w:firstRow="1" w:lastRow="0" w:firstColumn="1" w:lastColumn="0" w:noHBand="0" w:noVBand="1"/>
      </w:tblPr>
      <w:tblGrid>
        <w:gridCol w:w="3715"/>
        <w:gridCol w:w="3336"/>
        <w:gridCol w:w="3405"/>
      </w:tblGrid>
      <w:tr w:rsidR="00540ACA" w:rsidRPr="00540ACA" w:rsidTr="00540ACA">
        <w:tc>
          <w:tcPr>
            <w:tcW w:w="3794" w:type="dxa"/>
            <w:shd w:val="clear" w:color="auto" w:fill="1F497D" w:themeFill="text2"/>
          </w:tcPr>
          <w:p w:rsidR="008C0038" w:rsidRPr="00540ACA" w:rsidRDefault="008C0038" w:rsidP="008C0038">
            <w:pPr>
              <w:jc w:val="center"/>
              <w:rPr>
                <w:b/>
                <w:color w:val="FFFFFF" w:themeColor="background1"/>
                <w:sz w:val="20"/>
                <w:szCs w:val="20"/>
                <w:lang w:val="en-US"/>
              </w:rPr>
            </w:pPr>
            <w:r w:rsidRPr="00540ACA">
              <w:rPr>
                <w:b/>
                <w:color w:val="FFFFFF" w:themeColor="background1"/>
                <w:sz w:val="20"/>
                <w:szCs w:val="20"/>
                <w:lang w:val="en-US"/>
              </w:rPr>
              <w:t>Types or class of land</w:t>
            </w:r>
          </w:p>
        </w:tc>
        <w:tc>
          <w:tcPr>
            <w:tcW w:w="3402" w:type="dxa"/>
            <w:shd w:val="clear" w:color="auto" w:fill="1F497D" w:themeFill="text2"/>
          </w:tcPr>
          <w:p w:rsidR="008C0038" w:rsidRPr="00540ACA" w:rsidRDefault="008C0038" w:rsidP="008C0038">
            <w:pPr>
              <w:jc w:val="center"/>
              <w:rPr>
                <w:b/>
                <w:color w:val="FFFFFF" w:themeColor="background1"/>
                <w:sz w:val="20"/>
                <w:szCs w:val="20"/>
                <w:lang w:val="en-US"/>
              </w:rPr>
            </w:pPr>
            <w:r w:rsidRPr="00540ACA">
              <w:rPr>
                <w:b/>
                <w:color w:val="FFFFFF" w:themeColor="background1"/>
                <w:sz w:val="20"/>
                <w:szCs w:val="20"/>
                <w:lang w:val="en-US"/>
              </w:rPr>
              <w:t>Estimated rate distribution using projected 2016 CIV</w:t>
            </w:r>
          </w:p>
        </w:tc>
        <w:tc>
          <w:tcPr>
            <w:tcW w:w="3486" w:type="dxa"/>
            <w:shd w:val="clear" w:color="auto" w:fill="1F497D" w:themeFill="text2"/>
          </w:tcPr>
          <w:p w:rsidR="008C0038" w:rsidRPr="00540ACA" w:rsidRDefault="008C0038" w:rsidP="008C0038">
            <w:pPr>
              <w:jc w:val="center"/>
              <w:rPr>
                <w:b/>
                <w:color w:val="FFFFFF" w:themeColor="background1"/>
                <w:sz w:val="20"/>
                <w:szCs w:val="20"/>
                <w:lang w:val="en-US"/>
              </w:rPr>
            </w:pPr>
            <w:r w:rsidRPr="00540ACA">
              <w:rPr>
                <w:b/>
                <w:color w:val="FFFFFF" w:themeColor="background1"/>
                <w:sz w:val="20"/>
                <w:szCs w:val="20"/>
                <w:lang w:val="en-US"/>
              </w:rPr>
              <w:t>% Change</w:t>
            </w:r>
          </w:p>
        </w:tc>
      </w:tr>
      <w:tr w:rsidR="008C0038" w:rsidTr="002B54FB">
        <w:tc>
          <w:tcPr>
            <w:tcW w:w="3794" w:type="dxa"/>
          </w:tcPr>
          <w:p w:rsidR="008C0038" w:rsidRPr="008C0038" w:rsidRDefault="008C0038" w:rsidP="008C0038">
            <w:pPr>
              <w:rPr>
                <w:sz w:val="20"/>
                <w:szCs w:val="20"/>
                <w:lang w:val="en-US"/>
              </w:rPr>
            </w:pPr>
            <w:r>
              <w:rPr>
                <w:sz w:val="20"/>
                <w:szCs w:val="20"/>
                <w:lang w:val="en-US"/>
              </w:rPr>
              <w:t>General rate</w:t>
            </w:r>
          </w:p>
        </w:tc>
        <w:tc>
          <w:tcPr>
            <w:tcW w:w="3402" w:type="dxa"/>
          </w:tcPr>
          <w:p w:rsidR="008C0038" w:rsidRPr="008C0038" w:rsidRDefault="008C0038" w:rsidP="008C0038">
            <w:pPr>
              <w:jc w:val="right"/>
              <w:rPr>
                <w:sz w:val="20"/>
                <w:szCs w:val="20"/>
                <w:lang w:val="en-US"/>
              </w:rPr>
            </w:pPr>
            <w:r>
              <w:rPr>
                <w:sz w:val="20"/>
                <w:szCs w:val="20"/>
                <w:lang w:val="en-US"/>
              </w:rPr>
              <w:t>$62,152,502</w:t>
            </w:r>
          </w:p>
        </w:tc>
        <w:tc>
          <w:tcPr>
            <w:tcW w:w="3486" w:type="dxa"/>
          </w:tcPr>
          <w:p w:rsidR="008C0038" w:rsidRPr="008C0038" w:rsidRDefault="008C0038" w:rsidP="008C0038">
            <w:pPr>
              <w:jc w:val="right"/>
              <w:rPr>
                <w:sz w:val="20"/>
                <w:szCs w:val="20"/>
                <w:lang w:val="en-US"/>
              </w:rPr>
            </w:pPr>
            <w:r>
              <w:rPr>
                <w:sz w:val="20"/>
                <w:szCs w:val="20"/>
                <w:lang w:val="en-US"/>
              </w:rPr>
              <w:t>-0.40%</w:t>
            </w:r>
          </w:p>
        </w:tc>
      </w:tr>
      <w:tr w:rsidR="008C0038" w:rsidTr="002B54FB">
        <w:tc>
          <w:tcPr>
            <w:tcW w:w="3794" w:type="dxa"/>
          </w:tcPr>
          <w:p w:rsidR="008C0038" w:rsidRPr="008C0038" w:rsidRDefault="008C0038" w:rsidP="008C0038">
            <w:pPr>
              <w:rPr>
                <w:sz w:val="20"/>
                <w:szCs w:val="20"/>
                <w:lang w:val="en-US"/>
              </w:rPr>
            </w:pPr>
            <w:r>
              <w:rPr>
                <w:sz w:val="20"/>
                <w:szCs w:val="20"/>
                <w:lang w:val="en-US"/>
              </w:rPr>
              <w:t>Commercial Land</w:t>
            </w:r>
          </w:p>
        </w:tc>
        <w:tc>
          <w:tcPr>
            <w:tcW w:w="3402" w:type="dxa"/>
          </w:tcPr>
          <w:p w:rsidR="008C0038" w:rsidRPr="008C0038" w:rsidRDefault="008C0038" w:rsidP="008C0038">
            <w:pPr>
              <w:jc w:val="right"/>
              <w:rPr>
                <w:sz w:val="20"/>
                <w:szCs w:val="20"/>
                <w:lang w:val="en-US"/>
              </w:rPr>
            </w:pPr>
            <w:r>
              <w:rPr>
                <w:sz w:val="20"/>
                <w:szCs w:val="20"/>
                <w:lang w:val="en-US"/>
              </w:rPr>
              <w:t>$6,436,902</w:t>
            </w:r>
          </w:p>
        </w:tc>
        <w:tc>
          <w:tcPr>
            <w:tcW w:w="3486" w:type="dxa"/>
          </w:tcPr>
          <w:p w:rsidR="008C0038" w:rsidRPr="008C0038" w:rsidRDefault="008C0038" w:rsidP="008C0038">
            <w:pPr>
              <w:jc w:val="right"/>
              <w:rPr>
                <w:sz w:val="20"/>
                <w:szCs w:val="20"/>
                <w:lang w:val="en-US"/>
              </w:rPr>
            </w:pPr>
            <w:r>
              <w:rPr>
                <w:sz w:val="20"/>
                <w:szCs w:val="20"/>
                <w:lang w:val="en-US"/>
              </w:rPr>
              <w:t>2.71%</w:t>
            </w:r>
          </w:p>
        </w:tc>
      </w:tr>
      <w:tr w:rsidR="008C0038" w:rsidTr="002B54FB">
        <w:tc>
          <w:tcPr>
            <w:tcW w:w="3794" w:type="dxa"/>
          </w:tcPr>
          <w:p w:rsidR="008C0038" w:rsidRPr="008C0038" w:rsidRDefault="002B54FB" w:rsidP="008C0038">
            <w:pPr>
              <w:rPr>
                <w:sz w:val="20"/>
                <w:szCs w:val="20"/>
                <w:lang w:val="en-US"/>
              </w:rPr>
            </w:pPr>
            <w:r>
              <w:rPr>
                <w:sz w:val="20"/>
                <w:szCs w:val="20"/>
                <w:lang w:val="en-US"/>
              </w:rPr>
              <w:t>Industrial Land</w:t>
            </w:r>
          </w:p>
        </w:tc>
        <w:tc>
          <w:tcPr>
            <w:tcW w:w="3402" w:type="dxa"/>
          </w:tcPr>
          <w:p w:rsidR="008C0038" w:rsidRPr="008C0038" w:rsidRDefault="002B54FB" w:rsidP="008C0038">
            <w:pPr>
              <w:jc w:val="right"/>
              <w:rPr>
                <w:sz w:val="20"/>
                <w:szCs w:val="20"/>
                <w:lang w:val="en-US"/>
              </w:rPr>
            </w:pPr>
            <w:r>
              <w:rPr>
                <w:sz w:val="20"/>
                <w:szCs w:val="20"/>
                <w:lang w:val="en-US"/>
              </w:rPr>
              <w:t>$3,364,769</w:t>
            </w:r>
          </w:p>
        </w:tc>
        <w:tc>
          <w:tcPr>
            <w:tcW w:w="3486" w:type="dxa"/>
          </w:tcPr>
          <w:p w:rsidR="008C0038" w:rsidRPr="008C0038" w:rsidRDefault="002B54FB" w:rsidP="008C0038">
            <w:pPr>
              <w:jc w:val="right"/>
              <w:rPr>
                <w:sz w:val="20"/>
                <w:szCs w:val="20"/>
                <w:lang w:val="en-US"/>
              </w:rPr>
            </w:pPr>
            <w:r>
              <w:rPr>
                <w:sz w:val="20"/>
                <w:szCs w:val="20"/>
                <w:lang w:val="en-US"/>
              </w:rPr>
              <w:t>2.71%</w:t>
            </w:r>
          </w:p>
        </w:tc>
      </w:tr>
      <w:tr w:rsidR="008C0038" w:rsidTr="002B54FB">
        <w:tc>
          <w:tcPr>
            <w:tcW w:w="3794" w:type="dxa"/>
          </w:tcPr>
          <w:p w:rsidR="008C0038" w:rsidRPr="008C0038" w:rsidRDefault="002B54FB" w:rsidP="008C0038">
            <w:pPr>
              <w:rPr>
                <w:sz w:val="20"/>
                <w:szCs w:val="20"/>
                <w:lang w:val="en-US"/>
              </w:rPr>
            </w:pPr>
            <w:r>
              <w:rPr>
                <w:sz w:val="20"/>
                <w:szCs w:val="20"/>
                <w:lang w:val="en-US"/>
              </w:rPr>
              <w:t>Vacant Land</w:t>
            </w:r>
          </w:p>
        </w:tc>
        <w:tc>
          <w:tcPr>
            <w:tcW w:w="3402" w:type="dxa"/>
          </w:tcPr>
          <w:p w:rsidR="008C0038" w:rsidRPr="008C0038" w:rsidRDefault="002B54FB" w:rsidP="008C0038">
            <w:pPr>
              <w:jc w:val="right"/>
              <w:rPr>
                <w:sz w:val="20"/>
                <w:szCs w:val="20"/>
                <w:lang w:val="en-US"/>
              </w:rPr>
            </w:pPr>
            <w:r>
              <w:rPr>
                <w:sz w:val="20"/>
                <w:szCs w:val="20"/>
                <w:lang w:val="en-US"/>
              </w:rPr>
              <w:t>695,213</w:t>
            </w:r>
          </w:p>
        </w:tc>
        <w:tc>
          <w:tcPr>
            <w:tcW w:w="3486" w:type="dxa"/>
          </w:tcPr>
          <w:p w:rsidR="008C0038" w:rsidRPr="008C0038" w:rsidRDefault="002B54FB" w:rsidP="008C0038">
            <w:pPr>
              <w:jc w:val="right"/>
              <w:rPr>
                <w:sz w:val="20"/>
                <w:szCs w:val="20"/>
                <w:lang w:val="en-US"/>
              </w:rPr>
            </w:pPr>
            <w:r>
              <w:rPr>
                <w:sz w:val="20"/>
                <w:szCs w:val="20"/>
                <w:lang w:val="en-US"/>
              </w:rPr>
              <w:t>-0.42%</w:t>
            </w:r>
          </w:p>
        </w:tc>
      </w:tr>
      <w:tr w:rsidR="008C0038" w:rsidTr="002B54FB">
        <w:tc>
          <w:tcPr>
            <w:tcW w:w="3794" w:type="dxa"/>
          </w:tcPr>
          <w:p w:rsidR="008C0038" w:rsidRPr="008C0038" w:rsidRDefault="002B54FB" w:rsidP="008C0038">
            <w:pPr>
              <w:rPr>
                <w:sz w:val="20"/>
                <w:szCs w:val="20"/>
                <w:lang w:val="en-US"/>
              </w:rPr>
            </w:pPr>
            <w:r>
              <w:rPr>
                <w:sz w:val="20"/>
                <w:szCs w:val="20"/>
                <w:lang w:val="en-US"/>
              </w:rPr>
              <w:t>Cultural and Recreational Land</w:t>
            </w:r>
          </w:p>
        </w:tc>
        <w:tc>
          <w:tcPr>
            <w:tcW w:w="3402" w:type="dxa"/>
          </w:tcPr>
          <w:p w:rsidR="008C0038" w:rsidRPr="008C0038" w:rsidRDefault="002B54FB" w:rsidP="008C0038">
            <w:pPr>
              <w:jc w:val="right"/>
              <w:rPr>
                <w:sz w:val="20"/>
                <w:szCs w:val="20"/>
                <w:lang w:val="en-US"/>
              </w:rPr>
            </w:pPr>
            <w:r>
              <w:rPr>
                <w:sz w:val="20"/>
                <w:szCs w:val="20"/>
                <w:lang w:val="en-US"/>
              </w:rPr>
              <w:t>$18,439</w:t>
            </w:r>
          </w:p>
        </w:tc>
        <w:tc>
          <w:tcPr>
            <w:tcW w:w="3486" w:type="dxa"/>
          </w:tcPr>
          <w:p w:rsidR="008C0038" w:rsidRPr="008C0038" w:rsidRDefault="002B54FB" w:rsidP="008C0038">
            <w:pPr>
              <w:jc w:val="right"/>
              <w:rPr>
                <w:sz w:val="20"/>
                <w:szCs w:val="20"/>
                <w:lang w:val="en-US"/>
              </w:rPr>
            </w:pPr>
            <w:r>
              <w:rPr>
                <w:sz w:val="20"/>
                <w:szCs w:val="20"/>
                <w:lang w:val="en-US"/>
              </w:rPr>
              <w:t>-14.38%</w:t>
            </w:r>
          </w:p>
        </w:tc>
      </w:tr>
      <w:tr w:rsidR="008C0038" w:rsidRPr="002B54FB" w:rsidTr="00540ACA">
        <w:tc>
          <w:tcPr>
            <w:tcW w:w="3794" w:type="dxa"/>
            <w:shd w:val="clear" w:color="auto" w:fill="FFFFFF" w:themeFill="background1"/>
          </w:tcPr>
          <w:p w:rsidR="008C0038" w:rsidRPr="002B54FB" w:rsidRDefault="002B54FB" w:rsidP="008C0038">
            <w:pPr>
              <w:rPr>
                <w:b/>
                <w:sz w:val="20"/>
                <w:szCs w:val="20"/>
                <w:lang w:val="en-US"/>
              </w:rPr>
            </w:pPr>
            <w:r w:rsidRPr="002B54FB">
              <w:rPr>
                <w:b/>
                <w:sz w:val="20"/>
                <w:szCs w:val="20"/>
                <w:lang w:val="en-US"/>
              </w:rPr>
              <w:t>Total $ to be raised by general rates</w:t>
            </w:r>
          </w:p>
        </w:tc>
        <w:tc>
          <w:tcPr>
            <w:tcW w:w="3402" w:type="dxa"/>
            <w:shd w:val="clear" w:color="auto" w:fill="FFFFFF" w:themeFill="background1"/>
          </w:tcPr>
          <w:p w:rsidR="008C0038" w:rsidRPr="002B54FB" w:rsidRDefault="002B54FB" w:rsidP="008C0038">
            <w:pPr>
              <w:jc w:val="right"/>
              <w:rPr>
                <w:b/>
                <w:sz w:val="20"/>
                <w:szCs w:val="20"/>
                <w:lang w:val="en-US"/>
              </w:rPr>
            </w:pPr>
            <w:r w:rsidRPr="002B54FB">
              <w:rPr>
                <w:b/>
                <w:sz w:val="20"/>
                <w:szCs w:val="20"/>
                <w:lang w:val="en-US"/>
              </w:rPr>
              <w:t>$72,667,825</w:t>
            </w:r>
          </w:p>
        </w:tc>
        <w:tc>
          <w:tcPr>
            <w:tcW w:w="3486" w:type="dxa"/>
            <w:shd w:val="clear" w:color="auto" w:fill="FFFFFF" w:themeFill="background1"/>
          </w:tcPr>
          <w:p w:rsidR="008C0038" w:rsidRPr="002B54FB" w:rsidRDefault="008C0038" w:rsidP="008C0038">
            <w:pPr>
              <w:jc w:val="right"/>
              <w:rPr>
                <w:b/>
                <w:sz w:val="20"/>
                <w:szCs w:val="20"/>
                <w:lang w:val="en-US"/>
              </w:rPr>
            </w:pPr>
          </w:p>
        </w:tc>
      </w:tr>
    </w:tbl>
    <w:p w:rsidR="008C0038" w:rsidRPr="008C0038" w:rsidRDefault="008C0038" w:rsidP="008C0038">
      <w:pPr>
        <w:rPr>
          <w:lang w:val="en-US"/>
        </w:rPr>
      </w:pPr>
    </w:p>
    <w:p w:rsidR="00B24F63" w:rsidRDefault="002B54FB" w:rsidP="00681104">
      <w:pPr>
        <w:pStyle w:val="NoSpacing"/>
      </w:pPr>
      <w:r>
        <w:t xml:space="preserve">The associated number of properties with per annum dollar impacts with Council varying the current differential </w:t>
      </w:r>
      <w:r w:rsidR="00E9063E">
        <w:t xml:space="preserve">rating </w:t>
      </w:r>
      <w:r>
        <w:t>structure, applying a 20% variance to the rate in the dollar to commercial and industrial properties</w:t>
      </w:r>
      <w:r w:rsidR="00E9063E">
        <w:t xml:space="preserve"> reveals that the majority (91.6</w:t>
      </w:r>
      <w:r>
        <w:t xml:space="preserve">%) of properties (primarily residential) would </w:t>
      </w:r>
      <w:r w:rsidR="00DB1C63">
        <w:t>decrease</w:t>
      </w:r>
      <w:r>
        <w:t xml:space="preserve"> between $0-$100 </w:t>
      </w:r>
      <w:r w:rsidR="00E9063E">
        <w:t>per annum, and the minority (8.02</w:t>
      </w:r>
      <w:r>
        <w:t>%) of properties (primarily commercial and industrial) would increase by $0-&gt;$200 per annum.</w:t>
      </w:r>
    </w:p>
    <w:p w:rsidR="003D0405" w:rsidRDefault="003D0405">
      <w:pPr>
        <w:rPr>
          <w:rFonts w:eastAsiaTheme="minorHAnsi" w:cstheme="minorBidi"/>
        </w:rPr>
      </w:pPr>
      <w:r>
        <w:br w:type="page"/>
      </w:r>
    </w:p>
    <w:tbl>
      <w:tblPr>
        <w:tblStyle w:val="TableGrid"/>
        <w:tblW w:w="0" w:type="auto"/>
        <w:tblLook w:val="04A0" w:firstRow="1" w:lastRow="0" w:firstColumn="1" w:lastColumn="0" w:noHBand="0" w:noVBand="1"/>
      </w:tblPr>
      <w:tblGrid>
        <w:gridCol w:w="1545"/>
        <w:gridCol w:w="1518"/>
        <w:gridCol w:w="1469"/>
        <w:gridCol w:w="1518"/>
        <w:gridCol w:w="1477"/>
        <w:gridCol w:w="1540"/>
        <w:gridCol w:w="1389"/>
      </w:tblGrid>
      <w:tr w:rsidR="00540ACA" w:rsidRPr="00540ACA" w:rsidTr="003D0405">
        <w:tc>
          <w:tcPr>
            <w:tcW w:w="1613" w:type="dxa"/>
            <w:shd w:val="clear" w:color="auto" w:fill="1F497D" w:themeFill="text2"/>
          </w:tcPr>
          <w:p w:rsidR="002B54FB" w:rsidRPr="00540ACA" w:rsidRDefault="002B54FB" w:rsidP="003D0405">
            <w:pPr>
              <w:rPr>
                <w:b/>
                <w:color w:val="FFFFFF" w:themeColor="background1"/>
                <w:sz w:val="20"/>
                <w:szCs w:val="20"/>
                <w:lang w:val="en-US"/>
              </w:rPr>
            </w:pPr>
            <w:r w:rsidRPr="00540ACA">
              <w:rPr>
                <w:b/>
                <w:color w:val="FFFFFF" w:themeColor="background1"/>
                <w:sz w:val="20"/>
                <w:szCs w:val="20"/>
                <w:lang w:val="en-US"/>
              </w:rPr>
              <w:t>20% Commercial and Industrial differential</w:t>
            </w:r>
          </w:p>
        </w:tc>
        <w:tc>
          <w:tcPr>
            <w:tcW w:w="1518" w:type="dxa"/>
            <w:shd w:val="clear" w:color="auto" w:fill="1F497D" w:themeFill="text2"/>
          </w:tcPr>
          <w:p w:rsidR="002B54FB" w:rsidRPr="00540ACA" w:rsidRDefault="002B54FB" w:rsidP="003D0405">
            <w:pPr>
              <w:jc w:val="center"/>
              <w:rPr>
                <w:b/>
                <w:color w:val="FFFFFF" w:themeColor="background1"/>
                <w:sz w:val="20"/>
                <w:szCs w:val="20"/>
                <w:lang w:val="en-US"/>
              </w:rPr>
            </w:pPr>
            <w:r w:rsidRPr="00540ACA">
              <w:rPr>
                <w:b/>
                <w:color w:val="FFFFFF" w:themeColor="background1"/>
                <w:sz w:val="20"/>
                <w:szCs w:val="20"/>
                <w:lang w:val="en-US"/>
              </w:rPr>
              <w:t xml:space="preserve">&gt;100 </w:t>
            </w:r>
            <w:r w:rsidR="00E9063E" w:rsidRPr="00540ACA">
              <w:rPr>
                <w:b/>
                <w:color w:val="FFFFFF" w:themeColor="background1"/>
                <w:sz w:val="20"/>
                <w:szCs w:val="20"/>
                <w:lang w:val="en-US"/>
              </w:rPr>
              <w:t>d</w:t>
            </w:r>
            <w:r w:rsidRPr="00540ACA">
              <w:rPr>
                <w:b/>
                <w:color w:val="FFFFFF" w:themeColor="background1"/>
                <w:sz w:val="20"/>
                <w:szCs w:val="20"/>
                <w:lang w:val="en-US"/>
              </w:rPr>
              <w:t>ecrease p.a.</w:t>
            </w:r>
          </w:p>
        </w:tc>
        <w:tc>
          <w:tcPr>
            <w:tcW w:w="1493" w:type="dxa"/>
            <w:shd w:val="clear" w:color="auto" w:fill="1F497D" w:themeFill="text2"/>
          </w:tcPr>
          <w:p w:rsidR="002B54FB" w:rsidRPr="00540ACA" w:rsidRDefault="002B54FB" w:rsidP="003D0405">
            <w:pPr>
              <w:jc w:val="center"/>
              <w:rPr>
                <w:b/>
                <w:color w:val="FFFFFF" w:themeColor="background1"/>
                <w:sz w:val="20"/>
                <w:szCs w:val="20"/>
                <w:lang w:val="en-US"/>
              </w:rPr>
            </w:pPr>
            <w:r w:rsidRPr="00540ACA">
              <w:rPr>
                <w:b/>
                <w:color w:val="FFFFFF" w:themeColor="background1"/>
                <w:sz w:val="20"/>
                <w:szCs w:val="20"/>
                <w:lang w:val="en-US"/>
              </w:rPr>
              <w:t>$100 to &lt;$0 decrease p.a.</w:t>
            </w:r>
          </w:p>
        </w:tc>
        <w:tc>
          <w:tcPr>
            <w:tcW w:w="1518" w:type="dxa"/>
            <w:shd w:val="clear" w:color="auto" w:fill="1F497D" w:themeFill="text2"/>
          </w:tcPr>
          <w:p w:rsidR="002B54FB" w:rsidRPr="00540ACA" w:rsidRDefault="002B54FB" w:rsidP="003D0405">
            <w:pPr>
              <w:jc w:val="center"/>
              <w:rPr>
                <w:b/>
                <w:color w:val="FFFFFF" w:themeColor="background1"/>
                <w:sz w:val="20"/>
                <w:szCs w:val="20"/>
                <w:lang w:val="en-US"/>
              </w:rPr>
            </w:pPr>
            <w:r w:rsidRPr="00540ACA">
              <w:rPr>
                <w:b/>
                <w:color w:val="FFFFFF" w:themeColor="background1"/>
                <w:sz w:val="20"/>
                <w:szCs w:val="20"/>
                <w:lang w:val="en-US"/>
              </w:rPr>
              <w:t>$0 to $200 increase p.a.</w:t>
            </w:r>
          </w:p>
        </w:tc>
        <w:tc>
          <w:tcPr>
            <w:tcW w:w="1504" w:type="dxa"/>
            <w:shd w:val="clear" w:color="auto" w:fill="1F497D" w:themeFill="text2"/>
          </w:tcPr>
          <w:p w:rsidR="002B54FB" w:rsidRPr="00540ACA" w:rsidRDefault="002B54FB" w:rsidP="003D0405">
            <w:pPr>
              <w:jc w:val="center"/>
              <w:rPr>
                <w:b/>
                <w:color w:val="FFFFFF" w:themeColor="background1"/>
                <w:sz w:val="20"/>
                <w:szCs w:val="20"/>
                <w:lang w:val="en-US"/>
              </w:rPr>
            </w:pPr>
            <w:r w:rsidRPr="00540ACA">
              <w:rPr>
                <w:b/>
                <w:color w:val="FFFFFF" w:themeColor="background1"/>
                <w:sz w:val="20"/>
                <w:szCs w:val="20"/>
                <w:lang w:val="en-US"/>
              </w:rPr>
              <w:t>$200 to $400 increase p.a.</w:t>
            </w:r>
          </w:p>
        </w:tc>
        <w:tc>
          <w:tcPr>
            <w:tcW w:w="1590" w:type="dxa"/>
            <w:shd w:val="clear" w:color="auto" w:fill="1F497D" w:themeFill="text2"/>
          </w:tcPr>
          <w:p w:rsidR="002B54FB" w:rsidRPr="00540ACA" w:rsidRDefault="002B54FB" w:rsidP="003D0405">
            <w:pPr>
              <w:jc w:val="center"/>
              <w:rPr>
                <w:b/>
                <w:color w:val="FFFFFF" w:themeColor="background1"/>
                <w:sz w:val="20"/>
                <w:szCs w:val="20"/>
                <w:lang w:val="en-US"/>
              </w:rPr>
            </w:pPr>
            <w:r w:rsidRPr="00540ACA">
              <w:rPr>
                <w:b/>
                <w:color w:val="FFFFFF" w:themeColor="background1"/>
                <w:sz w:val="20"/>
                <w:szCs w:val="20"/>
                <w:lang w:val="en-US"/>
              </w:rPr>
              <w:t>&gt;$400 increase p.a.</w:t>
            </w:r>
          </w:p>
        </w:tc>
        <w:tc>
          <w:tcPr>
            <w:tcW w:w="1446" w:type="dxa"/>
            <w:shd w:val="clear" w:color="auto" w:fill="1F497D" w:themeFill="text2"/>
          </w:tcPr>
          <w:p w:rsidR="002B54FB" w:rsidRPr="00540ACA" w:rsidRDefault="002B54FB" w:rsidP="003D0405">
            <w:pPr>
              <w:jc w:val="center"/>
              <w:rPr>
                <w:b/>
                <w:color w:val="FFFFFF" w:themeColor="background1"/>
                <w:sz w:val="20"/>
                <w:szCs w:val="20"/>
                <w:lang w:val="en-US"/>
              </w:rPr>
            </w:pPr>
            <w:r w:rsidRPr="00540ACA">
              <w:rPr>
                <w:b/>
                <w:color w:val="FFFFFF" w:themeColor="background1"/>
                <w:sz w:val="20"/>
                <w:szCs w:val="20"/>
                <w:lang w:val="en-US"/>
              </w:rPr>
              <w:t>Total</w:t>
            </w:r>
          </w:p>
        </w:tc>
      </w:tr>
      <w:tr w:rsidR="00DB1C63" w:rsidRPr="00B24F63" w:rsidTr="003D0405">
        <w:tc>
          <w:tcPr>
            <w:tcW w:w="1613" w:type="dxa"/>
          </w:tcPr>
          <w:p w:rsidR="002B54FB" w:rsidRPr="00B24F63" w:rsidRDefault="002B54FB" w:rsidP="003D0405">
            <w:pPr>
              <w:rPr>
                <w:b/>
                <w:sz w:val="20"/>
                <w:szCs w:val="20"/>
                <w:lang w:val="en-US"/>
              </w:rPr>
            </w:pPr>
            <w:r w:rsidRPr="00B24F63">
              <w:rPr>
                <w:b/>
                <w:sz w:val="20"/>
                <w:szCs w:val="20"/>
                <w:lang w:val="en-US"/>
              </w:rPr>
              <w:t>Commercial</w:t>
            </w:r>
          </w:p>
        </w:tc>
        <w:tc>
          <w:tcPr>
            <w:tcW w:w="1518" w:type="dxa"/>
          </w:tcPr>
          <w:p w:rsidR="002B54FB" w:rsidRPr="00B24F63" w:rsidRDefault="002B54FB" w:rsidP="003D0405">
            <w:pPr>
              <w:tabs>
                <w:tab w:val="decimal" w:pos="1023"/>
              </w:tabs>
              <w:jc w:val="right"/>
              <w:rPr>
                <w:sz w:val="20"/>
                <w:szCs w:val="20"/>
                <w:lang w:val="en-US"/>
              </w:rPr>
            </w:pPr>
          </w:p>
        </w:tc>
        <w:tc>
          <w:tcPr>
            <w:tcW w:w="1493" w:type="dxa"/>
          </w:tcPr>
          <w:p w:rsidR="002B54FB" w:rsidRPr="00B24F63" w:rsidRDefault="002B54FB" w:rsidP="003D0405">
            <w:pPr>
              <w:tabs>
                <w:tab w:val="decimal" w:pos="1023"/>
              </w:tabs>
              <w:jc w:val="right"/>
              <w:rPr>
                <w:sz w:val="20"/>
                <w:szCs w:val="20"/>
                <w:lang w:val="en-US"/>
              </w:rPr>
            </w:pPr>
          </w:p>
        </w:tc>
        <w:tc>
          <w:tcPr>
            <w:tcW w:w="1518" w:type="dxa"/>
          </w:tcPr>
          <w:p w:rsidR="002B54FB" w:rsidRPr="00B24F63" w:rsidRDefault="002B54FB" w:rsidP="003D0405">
            <w:pPr>
              <w:tabs>
                <w:tab w:val="decimal" w:pos="1023"/>
              </w:tabs>
              <w:jc w:val="right"/>
              <w:rPr>
                <w:sz w:val="20"/>
                <w:szCs w:val="20"/>
                <w:lang w:val="en-US"/>
              </w:rPr>
            </w:pPr>
            <w:r>
              <w:rPr>
                <w:sz w:val="20"/>
                <w:szCs w:val="20"/>
                <w:lang w:val="en-US"/>
              </w:rPr>
              <w:t>2,067</w:t>
            </w:r>
          </w:p>
        </w:tc>
        <w:tc>
          <w:tcPr>
            <w:tcW w:w="1504" w:type="dxa"/>
          </w:tcPr>
          <w:p w:rsidR="002B54FB" w:rsidRPr="00B24F63" w:rsidRDefault="002B54FB" w:rsidP="003D0405">
            <w:pPr>
              <w:tabs>
                <w:tab w:val="decimal" w:pos="1023"/>
              </w:tabs>
              <w:jc w:val="right"/>
              <w:rPr>
                <w:sz w:val="20"/>
                <w:szCs w:val="20"/>
                <w:lang w:val="en-US"/>
              </w:rPr>
            </w:pPr>
            <w:r>
              <w:rPr>
                <w:sz w:val="20"/>
                <w:szCs w:val="20"/>
                <w:lang w:val="en-US"/>
              </w:rPr>
              <w:t>81</w:t>
            </w:r>
          </w:p>
        </w:tc>
        <w:tc>
          <w:tcPr>
            <w:tcW w:w="1590" w:type="dxa"/>
          </w:tcPr>
          <w:p w:rsidR="002B54FB" w:rsidRPr="00B24F63" w:rsidRDefault="002B54FB" w:rsidP="003D0405">
            <w:pPr>
              <w:tabs>
                <w:tab w:val="decimal" w:pos="1023"/>
              </w:tabs>
              <w:jc w:val="right"/>
              <w:rPr>
                <w:sz w:val="20"/>
                <w:szCs w:val="20"/>
                <w:lang w:val="en-US"/>
              </w:rPr>
            </w:pPr>
            <w:r>
              <w:rPr>
                <w:sz w:val="20"/>
                <w:szCs w:val="20"/>
                <w:lang w:val="en-US"/>
              </w:rPr>
              <w:t>46</w:t>
            </w:r>
          </w:p>
        </w:tc>
        <w:tc>
          <w:tcPr>
            <w:tcW w:w="1446" w:type="dxa"/>
          </w:tcPr>
          <w:p w:rsidR="002B54FB" w:rsidRPr="00B24F63" w:rsidRDefault="002B54FB" w:rsidP="003D0405">
            <w:pPr>
              <w:tabs>
                <w:tab w:val="decimal" w:pos="1023"/>
              </w:tabs>
              <w:jc w:val="right"/>
              <w:rPr>
                <w:sz w:val="20"/>
                <w:szCs w:val="20"/>
                <w:lang w:val="en-US"/>
              </w:rPr>
            </w:pPr>
            <w:r>
              <w:rPr>
                <w:sz w:val="20"/>
                <w:szCs w:val="20"/>
                <w:lang w:val="en-US"/>
              </w:rPr>
              <w:t>2,194</w:t>
            </w:r>
          </w:p>
        </w:tc>
      </w:tr>
      <w:tr w:rsidR="00DB1C63" w:rsidRPr="00B24F63" w:rsidTr="003D0405">
        <w:tc>
          <w:tcPr>
            <w:tcW w:w="1613" w:type="dxa"/>
          </w:tcPr>
          <w:p w:rsidR="002B54FB" w:rsidRPr="00B24F63" w:rsidRDefault="002B54FB" w:rsidP="003D0405">
            <w:pPr>
              <w:rPr>
                <w:b/>
                <w:sz w:val="20"/>
                <w:szCs w:val="20"/>
                <w:lang w:val="en-US"/>
              </w:rPr>
            </w:pPr>
            <w:r w:rsidRPr="00B24F63">
              <w:rPr>
                <w:b/>
                <w:sz w:val="20"/>
                <w:szCs w:val="20"/>
                <w:lang w:val="en-US"/>
              </w:rPr>
              <w:t>Cult/Rec</w:t>
            </w:r>
          </w:p>
        </w:tc>
        <w:tc>
          <w:tcPr>
            <w:tcW w:w="1518" w:type="dxa"/>
          </w:tcPr>
          <w:p w:rsidR="002B54FB" w:rsidRPr="00B24F63" w:rsidRDefault="002B54FB" w:rsidP="003D0405">
            <w:pPr>
              <w:tabs>
                <w:tab w:val="decimal" w:pos="1023"/>
              </w:tabs>
              <w:jc w:val="right"/>
              <w:rPr>
                <w:sz w:val="20"/>
                <w:szCs w:val="20"/>
                <w:lang w:val="en-US"/>
              </w:rPr>
            </w:pPr>
            <w:r>
              <w:rPr>
                <w:sz w:val="20"/>
                <w:szCs w:val="20"/>
                <w:lang w:val="en-US"/>
              </w:rPr>
              <w:t>3</w:t>
            </w:r>
          </w:p>
        </w:tc>
        <w:tc>
          <w:tcPr>
            <w:tcW w:w="1493" w:type="dxa"/>
          </w:tcPr>
          <w:p w:rsidR="002B54FB" w:rsidRPr="00B24F63" w:rsidRDefault="002B54FB" w:rsidP="003D0405">
            <w:pPr>
              <w:tabs>
                <w:tab w:val="decimal" w:pos="1023"/>
              </w:tabs>
              <w:jc w:val="right"/>
              <w:rPr>
                <w:sz w:val="20"/>
                <w:szCs w:val="20"/>
                <w:lang w:val="en-US"/>
              </w:rPr>
            </w:pPr>
          </w:p>
        </w:tc>
        <w:tc>
          <w:tcPr>
            <w:tcW w:w="1518" w:type="dxa"/>
          </w:tcPr>
          <w:p w:rsidR="002B54FB" w:rsidRPr="00B24F63" w:rsidRDefault="002B54FB" w:rsidP="003D0405">
            <w:pPr>
              <w:tabs>
                <w:tab w:val="decimal" w:pos="1023"/>
              </w:tabs>
              <w:jc w:val="right"/>
              <w:rPr>
                <w:sz w:val="20"/>
                <w:szCs w:val="20"/>
                <w:lang w:val="en-US"/>
              </w:rPr>
            </w:pPr>
          </w:p>
        </w:tc>
        <w:tc>
          <w:tcPr>
            <w:tcW w:w="1504" w:type="dxa"/>
          </w:tcPr>
          <w:p w:rsidR="002B54FB" w:rsidRPr="00B24F63" w:rsidRDefault="002B54FB" w:rsidP="003D0405">
            <w:pPr>
              <w:tabs>
                <w:tab w:val="decimal" w:pos="1023"/>
              </w:tabs>
              <w:jc w:val="right"/>
              <w:rPr>
                <w:sz w:val="20"/>
                <w:szCs w:val="20"/>
                <w:lang w:val="en-US"/>
              </w:rPr>
            </w:pPr>
          </w:p>
        </w:tc>
        <w:tc>
          <w:tcPr>
            <w:tcW w:w="1590" w:type="dxa"/>
          </w:tcPr>
          <w:p w:rsidR="002B54FB" w:rsidRPr="00B24F63" w:rsidRDefault="002B54FB" w:rsidP="003D0405">
            <w:pPr>
              <w:tabs>
                <w:tab w:val="decimal" w:pos="1023"/>
              </w:tabs>
              <w:jc w:val="right"/>
              <w:rPr>
                <w:sz w:val="20"/>
                <w:szCs w:val="20"/>
                <w:lang w:val="en-US"/>
              </w:rPr>
            </w:pPr>
          </w:p>
        </w:tc>
        <w:tc>
          <w:tcPr>
            <w:tcW w:w="1446" w:type="dxa"/>
          </w:tcPr>
          <w:p w:rsidR="002B54FB" w:rsidRPr="00B24F63" w:rsidRDefault="002B54FB" w:rsidP="003D0405">
            <w:pPr>
              <w:tabs>
                <w:tab w:val="decimal" w:pos="1023"/>
              </w:tabs>
              <w:jc w:val="right"/>
              <w:rPr>
                <w:sz w:val="20"/>
                <w:szCs w:val="20"/>
                <w:lang w:val="en-US"/>
              </w:rPr>
            </w:pPr>
            <w:r>
              <w:rPr>
                <w:sz w:val="20"/>
                <w:szCs w:val="20"/>
                <w:lang w:val="en-US"/>
              </w:rPr>
              <w:t>3</w:t>
            </w:r>
          </w:p>
        </w:tc>
      </w:tr>
      <w:tr w:rsidR="00DB1C63" w:rsidRPr="00B24F63" w:rsidTr="003D0405">
        <w:tc>
          <w:tcPr>
            <w:tcW w:w="1613" w:type="dxa"/>
          </w:tcPr>
          <w:p w:rsidR="002B54FB" w:rsidRPr="00B24F63" w:rsidRDefault="002B54FB" w:rsidP="003D0405">
            <w:pPr>
              <w:rPr>
                <w:b/>
                <w:sz w:val="20"/>
                <w:szCs w:val="20"/>
                <w:lang w:val="en-US"/>
              </w:rPr>
            </w:pPr>
            <w:r w:rsidRPr="00B24F63">
              <w:rPr>
                <w:b/>
                <w:sz w:val="20"/>
                <w:szCs w:val="20"/>
                <w:lang w:val="en-US"/>
              </w:rPr>
              <w:t>Industrial</w:t>
            </w:r>
          </w:p>
        </w:tc>
        <w:tc>
          <w:tcPr>
            <w:tcW w:w="1518" w:type="dxa"/>
          </w:tcPr>
          <w:p w:rsidR="002B54FB" w:rsidRPr="00B24F63" w:rsidRDefault="002B54FB" w:rsidP="003D0405">
            <w:pPr>
              <w:tabs>
                <w:tab w:val="decimal" w:pos="1023"/>
              </w:tabs>
              <w:jc w:val="right"/>
              <w:rPr>
                <w:sz w:val="20"/>
                <w:szCs w:val="20"/>
                <w:lang w:val="en-US"/>
              </w:rPr>
            </w:pPr>
          </w:p>
        </w:tc>
        <w:tc>
          <w:tcPr>
            <w:tcW w:w="1493" w:type="dxa"/>
          </w:tcPr>
          <w:p w:rsidR="002B54FB" w:rsidRPr="00B24F63" w:rsidRDefault="002B54FB" w:rsidP="003D0405">
            <w:pPr>
              <w:tabs>
                <w:tab w:val="decimal" w:pos="1023"/>
              </w:tabs>
              <w:jc w:val="right"/>
              <w:rPr>
                <w:sz w:val="20"/>
                <w:szCs w:val="20"/>
                <w:lang w:val="en-US"/>
              </w:rPr>
            </w:pPr>
          </w:p>
        </w:tc>
        <w:tc>
          <w:tcPr>
            <w:tcW w:w="1518" w:type="dxa"/>
          </w:tcPr>
          <w:p w:rsidR="002B54FB" w:rsidRPr="00B24F63" w:rsidRDefault="002B54FB" w:rsidP="003D0405">
            <w:pPr>
              <w:tabs>
                <w:tab w:val="decimal" w:pos="1023"/>
              </w:tabs>
              <w:jc w:val="right"/>
              <w:rPr>
                <w:sz w:val="20"/>
                <w:szCs w:val="20"/>
                <w:lang w:val="en-US"/>
              </w:rPr>
            </w:pPr>
            <w:r>
              <w:rPr>
                <w:sz w:val="20"/>
                <w:szCs w:val="20"/>
                <w:lang w:val="en-US"/>
              </w:rPr>
              <w:t>1,911</w:t>
            </w:r>
          </w:p>
        </w:tc>
        <w:tc>
          <w:tcPr>
            <w:tcW w:w="1504" w:type="dxa"/>
          </w:tcPr>
          <w:p w:rsidR="002B54FB" w:rsidRPr="00B24F63" w:rsidRDefault="002B54FB" w:rsidP="003D0405">
            <w:pPr>
              <w:tabs>
                <w:tab w:val="decimal" w:pos="1023"/>
              </w:tabs>
              <w:jc w:val="right"/>
              <w:rPr>
                <w:sz w:val="20"/>
                <w:szCs w:val="20"/>
                <w:lang w:val="en-US"/>
              </w:rPr>
            </w:pPr>
            <w:r>
              <w:rPr>
                <w:sz w:val="20"/>
                <w:szCs w:val="20"/>
                <w:lang w:val="en-US"/>
              </w:rPr>
              <w:t>37</w:t>
            </w:r>
          </w:p>
        </w:tc>
        <w:tc>
          <w:tcPr>
            <w:tcW w:w="1590" w:type="dxa"/>
          </w:tcPr>
          <w:p w:rsidR="002B54FB" w:rsidRPr="00B24F63" w:rsidRDefault="002B54FB" w:rsidP="003D0405">
            <w:pPr>
              <w:tabs>
                <w:tab w:val="decimal" w:pos="1023"/>
              </w:tabs>
              <w:jc w:val="right"/>
              <w:rPr>
                <w:sz w:val="20"/>
                <w:szCs w:val="20"/>
                <w:lang w:val="en-US"/>
              </w:rPr>
            </w:pPr>
            <w:r>
              <w:rPr>
                <w:sz w:val="20"/>
                <w:szCs w:val="20"/>
                <w:lang w:val="en-US"/>
              </w:rPr>
              <w:t>13</w:t>
            </w:r>
          </w:p>
        </w:tc>
        <w:tc>
          <w:tcPr>
            <w:tcW w:w="1446" w:type="dxa"/>
          </w:tcPr>
          <w:p w:rsidR="002B54FB" w:rsidRPr="00B24F63" w:rsidRDefault="002B54FB" w:rsidP="003D0405">
            <w:pPr>
              <w:tabs>
                <w:tab w:val="decimal" w:pos="1023"/>
              </w:tabs>
              <w:jc w:val="right"/>
              <w:rPr>
                <w:sz w:val="20"/>
                <w:szCs w:val="20"/>
                <w:lang w:val="en-US"/>
              </w:rPr>
            </w:pPr>
            <w:r>
              <w:rPr>
                <w:sz w:val="20"/>
                <w:szCs w:val="20"/>
                <w:lang w:val="en-US"/>
              </w:rPr>
              <w:t>1,961</w:t>
            </w:r>
          </w:p>
        </w:tc>
      </w:tr>
      <w:tr w:rsidR="00DB1C63" w:rsidRPr="00B24F63" w:rsidTr="003D0405">
        <w:tc>
          <w:tcPr>
            <w:tcW w:w="1613" w:type="dxa"/>
          </w:tcPr>
          <w:p w:rsidR="002B54FB" w:rsidRPr="00B24F63" w:rsidRDefault="002B54FB" w:rsidP="003D0405">
            <w:pPr>
              <w:rPr>
                <w:b/>
                <w:sz w:val="20"/>
                <w:szCs w:val="20"/>
                <w:lang w:val="en-US"/>
              </w:rPr>
            </w:pPr>
            <w:r w:rsidRPr="00B24F63">
              <w:rPr>
                <w:b/>
                <w:sz w:val="20"/>
                <w:szCs w:val="20"/>
                <w:lang w:val="en-US"/>
              </w:rPr>
              <w:t>Residential</w:t>
            </w:r>
          </w:p>
        </w:tc>
        <w:tc>
          <w:tcPr>
            <w:tcW w:w="1518" w:type="dxa"/>
          </w:tcPr>
          <w:p w:rsidR="002B54FB" w:rsidRPr="00B24F63" w:rsidRDefault="002B54FB" w:rsidP="003D0405">
            <w:pPr>
              <w:tabs>
                <w:tab w:val="decimal" w:pos="1023"/>
              </w:tabs>
              <w:jc w:val="right"/>
              <w:rPr>
                <w:sz w:val="20"/>
                <w:szCs w:val="20"/>
                <w:lang w:val="en-US"/>
              </w:rPr>
            </w:pPr>
            <w:r>
              <w:rPr>
                <w:sz w:val="20"/>
                <w:szCs w:val="20"/>
                <w:lang w:val="en-US"/>
              </w:rPr>
              <w:t>1</w:t>
            </w:r>
          </w:p>
        </w:tc>
        <w:tc>
          <w:tcPr>
            <w:tcW w:w="1493" w:type="dxa"/>
          </w:tcPr>
          <w:p w:rsidR="002B54FB" w:rsidRPr="00B24F63" w:rsidRDefault="002B54FB" w:rsidP="003D0405">
            <w:pPr>
              <w:tabs>
                <w:tab w:val="decimal" w:pos="1023"/>
              </w:tabs>
              <w:jc w:val="right"/>
              <w:rPr>
                <w:sz w:val="20"/>
                <w:szCs w:val="20"/>
                <w:lang w:val="en-US"/>
              </w:rPr>
            </w:pPr>
            <w:r>
              <w:rPr>
                <w:sz w:val="20"/>
                <w:szCs w:val="20"/>
                <w:lang w:val="en-US"/>
              </w:rPr>
              <w:t>45,131</w:t>
            </w:r>
          </w:p>
        </w:tc>
        <w:tc>
          <w:tcPr>
            <w:tcW w:w="1518" w:type="dxa"/>
          </w:tcPr>
          <w:p w:rsidR="002B54FB" w:rsidRPr="00B24F63" w:rsidRDefault="002B54FB" w:rsidP="003D0405">
            <w:pPr>
              <w:tabs>
                <w:tab w:val="decimal" w:pos="1023"/>
              </w:tabs>
              <w:jc w:val="right"/>
              <w:rPr>
                <w:sz w:val="20"/>
                <w:szCs w:val="20"/>
                <w:lang w:val="en-US"/>
              </w:rPr>
            </w:pPr>
          </w:p>
        </w:tc>
        <w:tc>
          <w:tcPr>
            <w:tcW w:w="1504" w:type="dxa"/>
          </w:tcPr>
          <w:p w:rsidR="002B54FB" w:rsidRPr="00B24F63" w:rsidRDefault="002B54FB" w:rsidP="003D0405">
            <w:pPr>
              <w:tabs>
                <w:tab w:val="decimal" w:pos="1023"/>
              </w:tabs>
              <w:jc w:val="right"/>
              <w:rPr>
                <w:sz w:val="20"/>
                <w:szCs w:val="20"/>
                <w:lang w:val="en-US"/>
              </w:rPr>
            </w:pPr>
          </w:p>
        </w:tc>
        <w:tc>
          <w:tcPr>
            <w:tcW w:w="1590" w:type="dxa"/>
          </w:tcPr>
          <w:p w:rsidR="002B54FB" w:rsidRPr="00B24F63" w:rsidRDefault="002B54FB" w:rsidP="003D0405">
            <w:pPr>
              <w:tabs>
                <w:tab w:val="decimal" w:pos="1023"/>
              </w:tabs>
              <w:jc w:val="right"/>
              <w:rPr>
                <w:sz w:val="20"/>
                <w:szCs w:val="20"/>
                <w:lang w:val="en-US"/>
              </w:rPr>
            </w:pPr>
          </w:p>
        </w:tc>
        <w:tc>
          <w:tcPr>
            <w:tcW w:w="1446" w:type="dxa"/>
          </w:tcPr>
          <w:p w:rsidR="002B54FB" w:rsidRPr="00B24F63" w:rsidRDefault="002B54FB" w:rsidP="003D0405">
            <w:pPr>
              <w:tabs>
                <w:tab w:val="decimal" w:pos="1023"/>
              </w:tabs>
              <w:jc w:val="right"/>
              <w:rPr>
                <w:sz w:val="20"/>
                <w:szCs w:val="20"/>
                <w:lang w:val="en-US"/>
              </w:rPr>
            </w:pPr>
            <w:r>
              <w:rPr>
                <w:sz w:val="20"/>
                <w:szCs w:val="20"/>
                <w:lang w:val="en-US"/>
              </w:rPr>
              <w:t>45,132</w:t>
            </w:r>
          </w:p>
        </w:tc>
      </w:tr>
      <w:tr w:rsidR="00DB1C63" w:rsidRPr="00B24F63" w:rsidTr="003D0405">
        <w:trPr>
          <w:trHeight w:val="322"/>
        </w:trPr>
        <w:tc>
          <w:tcPr>
            <w:tcW w:w="1613" w:type="dxa"/>
          </w:tcPr>
          <w:p w:rsidR="002B54FB" w:rsidRPr="00B24F63" w:rsidRDefault="002B54FB" w:rsidP="003D0405">
            <w:pPr>
              <w:rPr>
                <w:b/>
                <w:sz w:val="20"/>
                <w:szCs w:val="20"/>
                <w:lang w:val="en-US"/>
              </w:rPr>
            </w:pPr>
            <w:r w:rsidRPr="00B24F63">
              <w:rPr>
                <w:b/>
                <w:sz w:val="20"/>
                <w:szCs w:val="20"/>
                <w:lang w:val="en-US"/>
              </w:rPr>
              <w:t>Vacant Land</w:t>
            </w:r>
          </w:p>
        </w:tc>
        <w:tc>
          <w:tcPr>
            <w:tcW w:w="1518" w:type="dxa"/>
          </w:tcPr>
          <w:p w:rsidR="002B54FB" w:rsidRPr="00B24F63" w:rsidRDefault="002B54FB" w:rsidP="003D0405">
            <w:pPr>
              <w:tabs>
                <w:tab w:val="decimal" w:pos="1023"/>
              </w:tabs>
              <w:jc w:val="right"/>
              <w:rPr>
                <w:sz w:val="20"/>
                <w:szCs w:val="20"/>
                <w:lang w:val="en-US"/>
              </w:rPr>
            </w:pPr>
            <w:r>
              <w:rPr>
                <w:sz w:val="20"/>
                <w:szCs w:val="20"/>
                <w:lang w:val="en-US"/>
              </w:rPr>
              <w:t>1</w:t>
            </w:r>
          </w:p>
        </w:tc>
        <w:tc>
          <w:tcPr>
            <w:tcW w:w="1493" w:type="dxa"/>
          </w:tcPr>
          <w:p w:rsidR="002B54FB" w:rsidRPr="00B24F63" w:rsidRDefault="002B54FB" w:rsidP="003D0405">
            <w:pPr>
              <w:tabs>
                <w:tab w:val="decimal" w:pos="1023"/>
              </w:tabs>
              <w:jc w:val="right"/>
              <w:rPr>
                <w:sz w:val="20"/>
                <w:szCs w:val="20"/>
                <w:lang w:val="en-US"/>
              </w:rPr>
            </w:pPr>
            <w:r>
              <w:rPr>
                <w:sz w:val="20"/>
                <w:szCs w:val="20"/>
                <w:lang w:val="en-US"/>
              </w:rPr>
              <w:t>265</w:t>
            </w:r>
          </w:p>
        </w:tc>
        <w:tc>
          <w:tcPr>
            <w:tcW w:w="1518" w:type="dxa"/>
          </w:tcPr>
          <w:p w:rsidR="002B54FB" w:rsidRPr="00B24F63" w:rsidRDefault="002B54FB" w:rsidP="003D0405">
            <w:pPr>
              <w:tabs>
                <w:tab w:val="decimal" w:pos="1023"/>
              </w:tabs>
              <w:jc w:val="right"/>
              <w:rPr>
                <w:sz w:val="20"/>
                <w:szCs w:val="20"/>
                <w:lang w:val="en-US"/>
              </w:rPr>
            </w:pPr>
          </w:p>
        </w:tc>
        <w:tc>
          <w:tcPr>
            <w:tcW w:w="1504" w:type="dxa"/>
          </w:tcPr>
          <w:p w:rsidR="002B54FB" w:rsidRPr="00B24F63" w:rsidRDefault="002B54FB" w:rsidP="003D0405">
            <w:pPr>
              <w:tabs>
                <w:tab w:val="decimal" w:pos="1023"/>
              </w:tabs>
              <w:jc w:val="right"/>
              <w:rPr>
                <w:sz w:val="20"/>
                <w:szCs w:val="20"/>
                <w:lang w:val="en-US"/>
              </w:rPr>
            </w:pPr>
            <w:r>
              <w:rPr>
                <w:sz w:val="20"/>
                <w:szCs w:val="20"/>
                <w:lang w:val="en-US"/>
              </w:rPr>
              <w:t>9</w:t>
            </w:r>
          </w:p>
        </w:tc>
        <w:tc>
          <w:tcPr>
            <w:tcW w:w="1590" w:type="dxa"/>
          </w:tcPr>
          <w:p w:rsidR="002B54FB" w:rsidRPr="00B24F63" w:rsidRDefault="002B54FB" w:rsidP="003D0405">
            <w:pPr>
              <w:tabs>
                <w:tab w:val="decimal" w:pos="1023"/>
              </w:tabs>
              <w:jc w:val="right"/>
              <w:rPr>
                <w:sz w:val="20"/>
                <w:szCs w:val="20"/>
                <w:lang w:val="en-US"/>
              </w:rPr>
            </w:pPr>
            <w:r>
              <w:rPr>
                <w:sz w:val="20"/>
                <w:szCs w:val="20"/>
                <w:lang w:val="en-US"/>
              </w:rPr>
              <w:t>1</w:t>
            </w:r>
          </w:p>
        </w:tc>
        <w:tc>
          <w:tcPr>
            <w:tcW w:w="1446" w:type="dxa"/>
          </w:tcPr>
          <w:p w:rsidR="002B54FB" w:rsidRPr="00B24F63" w:rsidRDefault="002B54FB" w:rsidP="003D0405">
            <w:pPr>
              <w:tabs>
                <w:tab w:val="decimal" w:pos="1023"/>
              </w:tabs>
              <w:jc w:val="right"/>
              <w:rPr>
                <w:sz w:val="20"/>
                <w:szCs w:val="20"/>
                <w:lang w:val="en-US"/>
              </w:rPr>
            </w:pPr>
            <w:r>
              <w:rPr>
                <w:sz w:val="20"/>
                <w:szCs w:val="20"/>
                <w:lang w:val="en-US"/>
              </w:rPr>
              <w:t>266</w:t>
            </w:r>
          </w:p>
        </w:tc>
      </w:tr>
      <w:tr w:rsidR="00DB1C63" w:rsidRPr="00DB1C63" w:rsidTr="003D0405">
        <w:tc>
          <w:tcPr>
            <w:tcW w:w="1613" w:type="dxa"/>
            <w:shd w:val="clear" w:color="auto" w:fill="D9D9D9" w:themeFill="background1" w:themeFillShade="D9"/>
          </w:tcPr>
          <w:p w:rsidR="002B54FB" w:rsidRPr="00DB1C63" w:rsidRDefault="002B54FB" w:rsidP="003D0405">
            <w:pPr>
              <w:rPr>
                <w:b/>
                <w:sz w:val="20"/>
                <w:szCs w:val="20"/>
                <w:lang w:val="en-US"/>
              </w:rPr>
            </w:pPr>
            <w:r w:rsidRPr="00DB1C63">
              <w:rPr>
                <w:b/>
                <w:sz w:val="20"/>
                <w:szCs w:val="20"/>
                <w:lang w:val="en-US"/>
              </w:rPr>
              <w:t>Total</w:t>
            </w:r>
          </w:p>
        </w:tc>
        <w:tc>
          <w:tcPr>
            <w:tcW w:w="1518" w:type="dxa"/>
            <w:shd w:val="clear" w:color="auto" w:fill="D9D9D9" w:themeFill="background1" w:themeFillShade="D9"/>
          </w:tcPr>
          <w:p w:rsidR="002B54FB" w:rsidRPr="00DB1C63" w:rsidRDefault="002B54FB" w:rsidP="003D0405">
            <w:pPr>
              <w:tabs>
                <w:tab w:val="decimal" w:pos="1023"/>
              </w:tabs>
              <w:jc w:val="right"/>
              <w:rPr>
                <w:b/>
                <w:sz w:val="20"/>
                <w:szCs w:val="20"/>
                <w:lang w:val="en-US"/>
              </w:rPr>
            </w:pPr>
            <w:r w:rsidRPr="00DB1C63">
              <w:rPr>
                <w:b/>
                <w:sz w:val="20"/>
                <w:szCs w:val="20"/>
                <w:lang w:val="en-US"/>
              </w:rPr>
              <w:fldChar w:fldCharType="begin"/>
            </w:r>
            <w:r w:rsidRPr="00DB1C63">
              <w:rPr>
                <w:b/>
                <w:sz w:val="20"/>
                <w:szCs w:val="20"/>
                <w:lang w:val="en-US"/>
              </w:rPr>
              <w:instrText xml:space="preserve"> =SUM(ABOVE) </w:instrText>
            </w:r>
            <w:r w:rsidRPr="00DB1C63">
              <w:rPr>
                <w:b/>
                <w:sz w:val="20"/>
                <w:szCs w:val="20"/>
                <w:lang w:val="en-US"/>
              </w:rPr>
              <w:fldChar w:fldCharType="separate"/>
            </w:r>
            <w:r w:rsidRPr="00DB1C63">
              <w:rPr>
                <w:b/>
                <w:noProof/>
                <w:sz w:val="20"/>
                <w:szCs w:val="20"/>
                <w:lang w:val="en-US"/>
              </w:rPr>
              <w:t>56</w:t>
            </w:r>
            <w:r w:rsidRPr="00DB1C63">
              <w:rPr>
                <w:b/>
                <w:sz w:val="20"/>
                <w:szCs w:val="20"/>
                <w:lang w:val="en-US"/>
              </w:rPr>
              <w:fldChar w:fldCharType="end"/>
            </w:r>
          </w:p>
        </w:tc>
        <w:tc>
          <w:tcPr>
            <w:tcW w:w="1493" w:type="dxa"/>
            <w:shd w:val="clear" w:color="auto" w:fill="D9D9D9" w:themeFill="background1" w:themeFillShade="D9"/>
          </w:tcPr>
          <w:p w:rsidR="002B54FB" w:rsidRPr="00DB1C63" w:rsidRDefault="00DB1C63" w:rsidP="003D0405">
            <w:pPr>
              <w:tabs>
                <w:tab w:val="decimal" w:pos="1023"/>
              </w:tabs>
              <w:jc w:val="right"/>
              <w:rPr>
                <w:b/>
                <w:sz w:val="20"/>
                <w:szCs w:val="20"/>
                <w:lang w:val="en-US"/>
              </w:rPr>
            </w:pPr>
            <w:r w:rsidRPr="00DB1C63">
              <w:rPr>
                <w:b/>
                <w:sz w:val="20"/>
                <w:szCs w:val="20"/>
                <w:lang w:val="en-US"/>
              </w:rPr>
              <w:t>45,396</w:t>
            </w:r>
          </w:p>
        </w:tc>
        <w:tc>
          <w:tcPr>
            <w:tcW w:w="1518" w:type="dxa"/>
            <w:shd w:val="clear" w:color="auto" w:fill="D9D9D9" w:themeFill="background1" w:themeFillShade="D9"/>
          </w:tcPr>
          <w:p w:rsidR="002B54FB" w:rsidRPr="00DB1C63" w:rsidRDefault="00DB1C63" w:rsidP="003D0405">
            <w:pPr>
              <w:tabs>
                <w:tab w:val="decimal" w:pos="1023"/>
              </w:tabs>
              <w:jc w:val="right"/>
              <w:rPr>
                <w:b/>
                <w:sz w:val="20"/>
                <w:szCs w:val="20"/>
                <w:lang w:val="en-US"/>
              </w:rPr>
            </w:pPr>
            <w:r w:rsidRPr="00DB1C63">
              <w:rPr>
                <w:b/>
                <w:sz w:val="20"/>
                <w:szCs w:val="20"/>
                <w:lang w:val="en-US"/>
              </w:rPr>
              <w:t>3,976</w:t>
            </w:r>
          </w:p>
        </w:tc>
        <w:tc>
          <w:tcPr>
            <w:tcW w:w="1504" w:type="dxa"/>
            <w:shd w:val="clear" w:color="auto" w:fill="D9D9D9" w:themeFill="background1" w:themeFillShade="D9"/>
          </w:tcPr>
          <w:p w:rsidR="002B54FB" w:rsidRPr="00DB1C63" w:rsidRDefault="00DB1C63" w:rsidP="003D0405">
            <w:pPr>
              <w:tabs>
                <w:tab w:val="decimal" w:pos="1023"/>
              </w:tabs>
              <w:jc w:val="right"/>
              <w:rPr>
                <w:b/>
                <w:sz w:val="20"/>
                <w:szCs w:val="20"/>
                <w:lang w:val="en-US"/>
              </w:rPr>
            </w:pPr>
            <w:r w:rsidRPr="00DB1C63">
              <w:rPr>
                <w:b/>
                <w:sz w:val="20"/>
                <w:szCs w:val="20"/>
                <w:lang w:val="en-US"/>
              </w:rPr>
              <w:t>110</w:t>
            </w:r>
          </w:p>
        </w:tc>
        <w:tc>
          <w:tcPr>
            <w:tcW w:w="1590" w:type="dxa"/>
            <w:shd w:val="clear" w:color="auto" w:fill="D9D9D9" w:themeFill="background1" w:themeFillShade="D9"/>
          </w:tcPr>
          <w:p w:rsidR="002B54FB" w:rsidRPr="00DB1C63" w:rsidRDefault="00DB1C63" w:rsidP="003D0405">
            <w:pPr>
              <w:tabs>
                <w:tab w:val="decimal" w:pos="1023"/>
              </w:tabs>
              <w:jc w:val="right"/>
              <w:rPr>
                <w:b/>
                <w:sz w:val="20"/>
                <w:szCs w:val="20"/>
                <w:lang w:val="en-US"/>
              </w:rPr>
            </w:pPr>
            <w:r w:rsidRPr="00DB1C63">
              <w:rPr>
                <w:b/>
                <w:sz w:val="20"/>
                <w:szCs w:val="20"/>
                <w:lang w:val="en-US"/>
              </w:rPr>
              <w:t>59</w:t>
            </w:r>
          </w:p>
        </w:tc>
        <w:tc>
          <w:tcPr>
            <w:tcW w:w="1446" w:type="dxa"/>
            <w:shd w:val="clear" w:color="auto" w:fill="D9D9D9" w:themeFill="background1" w:themeFillShade="D9"/>
          </w:tcPr>
          <w:p w:rsidR="002B54FB" w:rsidRPr="00DB1C63" w:rsidRDefault="002B54FB" w:rsidP="003D0405">
            <w:pPr>
              <w:tabs>
                <w:tab w:val="decimal" w:pos="1023"/>
              </w:tabs>
              <w:jc w:val="right"/>
              <w:rPr>
                <w:b/>
                <w:sz w:val="20"/>
                <w:szCs w:val="20"/>
                <w:lang w:val="en-US"/>
              </w:rPr>
            </w:pPr>
            <w:r w:rsidRPr="00DB1C63">
              <w:rPr>
                <w:b/>
                <w:sz w:val="20"/>
                <w:szCs w:val="20"/>
                <w:lang w:val="en-US"/>
              </w:rPr>
              <w:t>49,556</w:t>
            </w:r>
          </w:p>
        </w:tc>
      </w:tr>
      <w:tr w:rsidR="00DB1C63" w:rsidRPr="00B24F63" w:rsidTr="003D0405">
        <w:tc>
          <w:tcPr>
            <w:tcW w:w="1613" w:type="dxa"/>
          </w:tcPr>
          <w:p w:rsidR="002B54FB" w:rsidRPr="00B24F63" w:rsidRDefault="002B54FB" w:rsidP="003D0405">
            <w:pPr>
              <w:rPr>
                <w:b/>
                <w:sz w:val="20"/>
                <w:szCs w:val="20"/>
                <w:lang w:val="en-US"/>
              </w:rPr>
            </w:pPr>
            <w:r w:rsidRPr="00B24F63">
              <w:rPr>
                <w:b/>
                <w:sz w:val="20"/>
                <w:szCs w:val="20"/>
                <w:lang w:val="en-US"/>
              </w:rPr>
              <w:t>% Properties</w:t>
            </w:r>
          </w:p>
        </w:tc>
        <w:tc>
          <w:tcPr>
            <w:tcW w:w="1518" w:type="dxa"/>
          </w:tcPr>
          <w:p w:rsidR="002B54FB" w:rsidRPr="00B24F63" w:rsidRDefault="00DB1C63" w:rsidP="003D0405">
            <w:pPr>
              <w:tabs>
                <w:tab w:val="decimal" w:pos="1023"/>
              </w:tabs>
              <w:jc w:val="right"/>
              <w:rPr>
                <w:sz w:val="20"/>
                <w:szCs w:val="20"/>
                <w:lang w:val="en-US"/>
              </w:rPr>
            </w:pPr>
            <w:r>
              <w:rPr>
                <w:sz w:val="20"/>
                <w:szCs w:val="20"/>
                <w:lang w:val="en-US"/>
              </w:rPr>
              <w:t>0.01</w:t>
            </w:r>
          </w:p>
        </w:tc>
        <w:tc>
          <w:tcPr>
            <w:tcW w:w="1493" w:type="dxa"/>
          </w:tcPr>
          <w:p w:rsidR="002B54FB" w:rsidRPr="00B24F63" w:rsidRDefault="00DB1C63" w:rsidP="003D0405">
            <w:pPr>
              <w:tabs>
                <w:tab w:val="decimal" w:pos="1023"/>
              </w:tabs>
              <w:jc w:val="right"/>
              <w:rPr>
                <w:sz w:val="20"/>
                <w:szCs w:val="20"/>
                <w:lang w:val="en-US"/>
              </w:rPr>
            </w:pPr>
            <w:r>
              <w:rPr>
                <w:sz w:val="20"/>
                <w:szCs w:val="20"/>
                <w:lang w:val="en-US"/>
              </w:rPr>
              <w:t>91.6</w:t>
            </w:r>
          </w:p>
        </w:tc>
        <w:tc>
          <w:tcPr>
            <w:tcW w:w="1518" w:type="dxa"/>
          </w:tcPr>
          <w:p w:rsidR="002B54FB" w:rsidRPr="00B24F63" w:rsidRDefault="00E9063E" w:rsidP="003D0405">
            <w:pPr>
              <w:tabs>
                <w:tab w:val="decimal" w:pos="1023"/>
              </w:tabs>
              <w:jc w:val="right"/>
              <w:rPr>
                <w:sz w:val="20"/>
                <w:szCs w:val="20"/>
                <w:lang w:val="en-US"/>
              </w:rPr>
            </w:pPr>
            <w:r>
              <w:rPr>
                <w:sz w:val="20"/>
                <w:szCs w:val="20"/>
                <w:lang w:val="en-US"/>
              </w:rPr>
              <w:t>8</w:t>
            </w:r>
            <w:r w:rsidR="00DB1C63">
              <w:rPr>
                <w:sz w:val="20"/>
                <w:szCs w:val="20"/>
                <w:lang w:val="en-US"/>
              </w:rPr>
              <w:t>.02</w:t>
            </w:r>
          </w:p>
        </w:tc>
        <w:tc>
          <w:tcPr>
            <w:tcW w:w="1504" w:type="dxa"/>
          </w:tcPr>
          <w:p w:rsidR="002B54FB" w:rsidRPr="00B24F63" w:rsidRDefault="00DB1C63" w:rsidP="003D0405">
            <w:pPr>
              <w:tabs>
                <w:tab w:val="decimal" w:pos="1023"/>
              </w:tabs>
              <w:jc w:val="right"/>
              <w:rPr>
                <w:sz w:val="20"/>
                <w:szCs w:val="20"/>
                <w:lang w:val="en-US"/>
              </w:rPr>
            </w:pPr>
            <w:r>
              <w:rPr>
                <w:sz w:val="20"/>
                <w:szCs w:val="20"/>
                <w:lang w:val="en-US"/>
              </w:rPr>
              <w:t>0.2</w:t>
            </w:r>
          </w:p>
        </w:tc>
        <w:tc>
          <w:tcPr>
            <w:tcW w:w="1590" w:type="dxa"/>
          </w:tcPr>
          <w:p w:rsidR="002B54FB" w:rsidRPr="00B24F63" w:rsidRDefault="00DB1C63" w:rsidP="003D0405">
            <w:pPr>
              <w:tabs>
                <w:tab w:val="decimal" w:pos="1023"/>
              </w:tabs>
              <w:jc w:val="right"/>
              <w:rPr>
                <w:sz w:val="20"/>
                <w:szCs w:val="20"/>
                <w:lang w:val="en-US"/>
              </w:rPr>
            </w:pPr>
            <w:r>
              <w:rPr>
                <w:sz w:val="20"/>
                <w:szCs w:val="20"/>
                <w:lang w:val="en-US"/>
              </w:rPr>
              <w:t>0.1</w:t>
            </w:r>
          </w:p>
        </w:tc>
        <w:tc>
          <w:tcPr>
            <w:tcW w:w="1446" w:type="dxa"/>
          </w:tcPr>
          <w:p w:rsidR="002B54FB" w:rsidRPr="00B24F63" w:rsidRDefault="002B54FB" w:rsidP="003D0405">
            <w:pPr>
              <w:tabs>
                <w:tab w:val="decimal" w:pos="1023"/>
              </w:tabs>
              <w:jc w:val="right"/>
              <w:rPr>
                <w:sz w:val="20"/>
                <w:szCs w:val="20"/>
                <w:lang w:val="en-US"/>
              </w:rPr>
            </w:pPr>
            <w:r>
              <w:rPr>
                <w:sz w:val="20"/>
                <w:szCs w:val="20"/>
                <w:lang w:val="en-US"/>
              </w:rPr>
              <w:t>100</w:t>
            </w:r>
          </w:p>
        </w:tc>
      </w:tr>
    </w:tbl>
    <w:p w:rsidR="002B54FB" w:rsidRDefault="002B54FB" w:rsidP="002B54FB">
      <w:pPr>
        <w:rPr>
          <w:lang w:val="en-US"/>
        </w:rPr>
      </w:pPr>
    </w:p>
    <w:p w:rsidR="002B54FB" w:rsidRPr="002B54FB" w:rsidRDefault="002B54FB" w:rsidP="002B54FB">
      <w:pPr>
        <w:rPr>
          <w:lang w:val="en-US"/>
        </w:rPr>
      </w:pPr>
    </w:p>
    <w:p w:rsidR="004D2436" w:rsidRDefault="004D2436" w:rsidP="004D2436">
      <w:pPr>
        <w:pStyle w:val="Heading2"/>
      </w:pPr>
      <w:bookmarkStart w:id="53" w:name="_Toc499624704"/>
      <w:r>
        <w:t>Objections to Proper</w:t>
      </w:r>
      <w:r w:rsidR="00D83732">
        <w:t>t</w:t>
      </w:r>
      <w:r>
        <w:t>y Valuation</w:t>
      </w:r>
      <w:bookmarkEnd w:id="53"/>
    </w:p>
    <w:p w:rsidR="004D2436" w:rsidRDefault="004D2436" w:rsidP="004D0908">
      <w:pPr>
        <w:jc w:val="both"/>
        <w:rPr>
          <w:lang w:val="en-US"/>
        </w:rPr>
      </w:pPr>
      <w:r>
        <w:rPr>
          <w:lang w:val="en-US"/>
        </w:rPr>
        <w:t>The Valuation of Land Act (1960) provi</w:t>
      </w:r>
      <w:r w:rsidR="00D83732">
        <w:rPr>
          <w:lang w:val="en-US"/>
        </w:rPr>
        <w:t>des that obje</w:t>
      </w:r>
      <w:r>
        <w:rPr>
          <w:lang w:val="en-US"/>
        </w:rPr>
        <w:t xml:space="preserve">ction to the valuation may be made each year within two months of the issue of the original or amended (supplementary) Rates and Valuation </w:t>
      </w:r>
      <w:r w:rsidR="00D83732">
        <w:rPr>
          <w:lang w:val="en-US"/>
        </w:rPr>
        <w:t>Notice (Rate Notice).</w:t>
      </w:r>
    </w:p>
    <w:p w:rsidR="00D83732" w:rsidRDefault="00D83732" w:rsidP="004D0908">
      <w:pPr>
        <w:jc w:val="both"/>
        <w:rPr>
          <w:lang w:val="en-US"/>
        </w:rPr>
      </w:pPr>
    </w:p>
    <w:p w:rsidR="00D83732" w:rsidRDefault="00D83732" w:rsidP="004D0908">
      <w:pPr>
        <w:jc w:val="both"/>
        <w:rPr>
          <w:lang w:val="en-US"/>
        </w:rPr>
      </w:pPr>
      <w:r>
        <w:rPr>
          <w:lang w:val="en-US"/>
        </w:rPr>
        <w:t>Objections must be dealt with in accordance with the Valuation of Land Act – Division 3 Sections 16-21</w:t>
      </w:r>
    </w:p>
    <w:p w:rsidR="00D83732" w:rsidRDefault="00D83732" w:rsidP="004D0908">
      <w:pPr>
        <w:jc w:val="both"/>
        <w:rPr>
          <w:lang w:val="en-US"/>
        </w:rPr>
      </w:pPr>
    </w:p>
    <w:p w:rsidR="00D83732" w:rsidRDefault="00D83732" w:rsidP="004D0908">
      <w:pPr>
        <w:jc w:val="both"/>
        <w:rPr>
          <w:lang w:val="en-US"/>
        </w:rPr>
      </w:pPr>
      <w:r>
        <w:rPr>
          <w:lang w:val="en-US"/>
        </w:rPr>
        <w:t xml:space="preserve">The Act was amended in 2006 </w:t>
      </w:r>
      <w:r w:rsidR="009360C6">
        <w:rPr>
          <w:lang w:val="en-US"/>
        </w:rPr>
        <w:t>to</w:t>
      </w:r>
      <w:r>
        <w:rPr>
          <w:lang w:val="en-US"/>
        </w:rPr>
        <w:t xml:space="preserve"> improve the valuation objection process and reduce the number of lengthy and costly disputes.  The Act specifically improves the processes and practices for lodging an objection, sharing and exchange of information, referring an objection dispute to VCAT, awarding costs, Valuer General notifications, and certification of supplementary valuations.  Further information can be obtained by contacting </w:t>
      </w:r>
      <w:r w:rsidR="0019151A">
        <w:rPr>
          <w:lang w:val="en-US"/>
        </w:rPr>
        <w:t>Council</w:t>
      </w:r>
      <w:r>
        <w:rPr>
          <w:lang w:val="en-US"/>
        </w:rPr>
        <w:t xml:space="preserve"> or accessing the Land Victoria web site at </w:t>
      </w:r>
      <w:hyperlink r:id="rId18" w:history="1">
        <w:r w:rsidRPr="0005449F">
          <w:rPr>
            <w:rStyle w:val="Hyperlink"/>
            <w:sz w:val="22"/>
            <w:szCs w:val="22"/>
            <w:lang w:val="en-US"/>
          </w:rPr>
          <w:t>www.land.vic.gov.au/valuation</w:t>
        </w:r>
      </w:hyperlink>
      <w:r>
        <w:rPr>
          <w:lang w:val="en-US"/>
        </w:rPr>
        <w:t>.</w:t>
      </w:r>
    </w:p>
    <w:p w:rsidR="00D83732" w:rsidRDefault="00D83732" w:rsidP="004D0908">
      <w:pPr>
        <w:jc w:val="both"/>
        <w:rPr>
          <w:lang w:val="en-US"/>
        </w:rPr>
      </w:pPr>
    </w:p>
    <w:p w:rsidR="008B5A3D" w:rsidRPr="004D2436" w:rsidRDefault="0019151A" w:rsidP="004D0908">
      <w:pPr>
        <w:jc w:val="both"/>
        <w:rPr>
          <w:lang w:val="en-US"/>
        </w:rPr>
      </w:pPr>
      <w:r>
        <w:rPr>
          <w:lang w:val="en-US"/>
        </w:rPr>
        <w:t>Council</w:t>
      </w:r>
      <w:r w:rsidR="00D83732">
        <w:rPr>
          <w:lang w:val="en-US"/>
        </w:rPr>
        <w:t xml:space="preserve"> will continue to advise ratepayers via the “Rate and Valuation Notice” and its web site, of their right to object and appeal the valuation.</w:t>
      </w:r>
      <w:r w:rsidR="006A16B5">
        <w:rPr>
          <w:lang w:val="en-US"/>
        </w:rPr>
        <w:t xml:space="preserve">  Property owners also </w:t>
      </w:r>
      <w:r w:rsidR="009360C6">
        <w:rPr>
          <w:lang w:val="en-US"/>
        </w:rPr>
        <w:t>can</w:t>
      </w:r>
      <w:r w:rsidR="006A16B5">
        <w:rPr>
          <w:lang w:val="en-US"/>
        </w:rPr>
        <w:t xml:space="preserve"> object to the site valuations on receipt of their Land Tax Assessment.  Property owners can appeal their land valuation within 60 days of receipt of </w:t>
      </w:r>
      <w:r>
        <w:rPr>
          <w:lang w:val="en-US"/>
        </w:rPr>
        <w:t>Council</w:t>
      </w:r>
      <w:r w:rsidR="006A16B5">
        <w:rPr>
          <w:lang w:val="en-US"/>
        </w:rPr>
        <w:t xml:space="preserve"> Rate Notice (via </w:t>
      </w:r>
      <w:r>
        <w:rPr>
          <w:lang w:val="en-US"/>
        </w:rPr>
        <w:t>Council</w:t>
      </w:r>
      <w:r w:rsidR="006A16B5">
        <w:rPr>
          <w:lang w:val="en-US"/>
        </w:rPr>
        <w:t>) or within 60</w:t>
      </w:r>
      <w:r w:rsidR="007E36BF">
        <w:rPr>
          <w:lang w:val="en-US"/>
        </w:rPr>
        <w:t xml:space="preserve"> </w:t>
      </w:r>
      <w:r w:rsidR="006A16B5">
        <w:rPr>
          <w:lang w:val="en-US"/>
        </w:rPr>
        <w:t xml:space="preserve">days of receipt of their Land Tax Assessments (via State Revenue Office). </w:t>
      </w:r>
    </w:p>
    <w:p w:rsidR="00510740" w:rsidRDefault="00510740" w:rsidP="00510740">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54" w:name="_Toc499624705"/>
      <w:r>
        <w:t>Strategy Recommendations</w:t>
      </w:r>
      <w:bookmarkEnd w:id="54"/>
    </w:p>
    <w:p w:rsidR="00510740" w:rsidRDefault="00510740" w:rsidP="0051074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p>
    <w:p w:rsidR="008B5A3D" w:rsidRPr="00022430" w:rsidRDefault="00510740" w:rsidP="0002243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That </w:t>
      </w:r>
      <w:r w:rsidR="0019151A">
        <w:rPr>
          <w:lang w:val="en-US"/>
        </w:rPr>
        <w:t>Council</w:t>
      </w:r>
      <w:r>
        <w:rPr>
          <w:lang w:val="en-US"/>
        </w:rPr>
        <w:t xml:space="preserve"> reviews the impact of </w:t>
      </w:r>
      <w:r w:rsidR="0019151A">
        <w:rPr>
          <w:lang w:val="en-US"/>
        </w:rPr>
        <w:t>Council</w:t>
      </w:r>
      <w:r>
        <w:rPr>
          <w:lang w:val="en-US"/>
        </w:rPr>
        <w:t xml:space="preserve"> revaluations and assesses differential rates applied to achieve an outcome that is considered equitable by </w:t>
      </w:r>
      <w:r w:rsidR="0019151A">
        <w:rPr>
          <w:lang w:val="en-US"/>
        </w:rPr>
        <w:t>Council</w:t>
      </w:r>
      <w:r w:rsidR="007E36BF">
        <w:rPr>
          <w:lang w:val="en-US"/>
        </w:rPr>
        <w:t xml:space="preserve"> for the various type or class of land</w:t>
      </w:r>
      <w:r>
        <w:rPr>
          <w:lang w:val="en-US"/>
        </w:rPr>
        <w:t>.</w:t>
      </w:r>
    </w:p>
    <w:p w:rsidR="00510740" w:rsidRDefault="00510740" w:rsidP="00510740">
      <w:pPr>
        <w:pStyle w:val="Heading1"/>
      </w:pPr>
      <w:bookmarkStart w:id="55" w:name="_Toc499624706"/>
      <w:r>
        <w:t>8.  Special rates and charges</w:t>
      </w:r>
      <w:bookmarkEnd w:id="55"/>
    </w:p>
    <w:p w:rsidR="00510740" w:rsidRDefault="00510740" w:rsidP="004D0908">
      <w:pPr>
        <w:spacing w:after="60"/>
        <w:jc w:val="both"/>
      </w:pPr>
      <w:r>
        <w:t xml:space="preserve">Special rates and charges are covered under Section 163 of the </w:t>
      </w:r>
      <w:r w:rsidR="00635A1F" w:rsidRPr="00635A1F">
        <w:rPr>
          <w:i/>
        </w:rPr>
        <w:t>Local Government Act</w:t>
      </w:r>
      <w:r>
        <w:t xml:space="preserve"> (1989), which enables </w:t>
      </w:r>
      <w:r w:rsidR="0019151A">
        <w:t>Council</w:t>
      </w:r>
      <w:r>
        <w:t xml:space="preserve"> to declare a special rate or charge or a combinati</w:t>
      </w:r>
      <w:r w:rsidR="00022430">
        <w:t>on of both for the purposes of:</w:t>
      </w:r>
    </w:p>
    <w:p w:rsidR="00510740" w:rsidRDefault="00510740" w:rsidP="00F96372">
      <w:pPr>
        <w:pStyle w:val="NoSpacing"/>
        <w:numPr>
          <w:ilvl w:val="0"/>
          <w:numId w:val="26"/>
        </w:numPr>
      </w:pPr>
      <w:r>
        <w:t>Defraying any expenses; or</w:t>
      </w:r>
    </w:p>
    <w:p w:rsidR="00510740" w:rsidRDefault="00510740" w:rsidP="00F96372">
      <w:pPr>
        <w:pStyle w:val="NoSpacing"/>
        <w:numPr>
          <w:ilvl w:val="0"/>
          <w:numId w:val="26"/>
        </w:numPr>
      </w:pPr>
      <w:r>
        <w:t xml:space="preserve">Repaying with interest any advance made or debt incurred or loan raised by </w:t>
      </w:r>
      <w:r w:rsidR="0019151A">
        <w:t>Council</w:t>
      </w:r>
      <w:r>
        <w:t>.</w:t>
      </w:r>
    </w:p>
    <w:p w:rsidR="00510740" w:rsidRDefault="00510740" w:rsidP="00510740"/>
    <w:p w:rsidR="00510740" w:rsidRDefault="00510740" w:rsidP="004D0908">
      <w:pPr>
        <w:jc w:val="both"/>
      </w:pPr>
      <w:r>
        <w:t xml:space="preserve">In relation to the performance of a function or the exercise of a power of the </w:t>
      </w:r>
      <w:r w:rsidR="0019151A">
        <w:t>Council</w:t>
      </w:r>
      <w:r>
        <w:t xml:space="preserve">, if the </w:t>
      </w:r>
      <w:r w:rsidR="0019151A">
        <w:t>Council</w:t>
      </w:r>
      <w:r>
        <w:t xml:space="preserve"> considers that the performance of the function or the exercise of the power is or will be of special benefit to the persons required to pay the special rate or special charge.</w:t>
      </w:r>
      <w:r w:rsidR="007E36BF">
        <w:t xml:space="preserve"> Council currently has one special charge scheme which was implemented at the request of the traders in Croydon.</w:t>
      </w:r>
    </w:p>
    <w:p w:rsidR="00BC1661" w:rsidRDefault="00BC1661" w:rsidP="004D0908">
      <w:pPr>
        <w:jc w:val="both"/>
      </w:pPr>
    </w:p>
    <w:p w:rsidR="00BC1661" w:rsidRDefault="00BC1661" w:rsidP="004D0908">
      <w:pPr>
        <w:jc w:val="both"/>
      </w:pPr>
      <w:r>
        <w:t xml:space="preserve">There are detailed procedural requirements that </w:t>
      </w:r>
      <w:r w:rsidR="0019151A">
        <w:t>Council</w:t>
      </w:r>
      <w:r>
        <w:t xml:space="preserve"> needs to follow to introduce a special rate or charge, including how </w:t>
      </w:r>
      <w:r w:rsidR="0019151A">
        <w:t>Council</w:t>
      </w:r>
      <w:r>
        <w:t xml:space="preserve"> can apply funds derived from this source.</w:t>
      </w:r>
    </w:p>
    <w:p w:rsidR="00BC1661" w:rsidRDefault="00BC1661" w:rsidP="004D0908">
      <w:pPr>
        <w:jc w:val="both"/>
      </w:pPr>
    </w:p>
    <w:p w:rsidR="00BC1661" w:rsidRDefault="00BC1661" w:rsidP="004D0908">
      <w:pPr>
        <w:jc w:val="both"/>
      </w:pPr>
      <w:r>
        <w:t xml:space="preserve">Section 185 of the </w:t>
      </w:r>
      <w:r w:rsidR="00635A1F" w:rsidRPr="00635A1F">
        <w:rPr>
          <w:i/>
        </w:rPr>
        <w:t>Local Government Act</w:t>
      </w:r>
      <w:r>
        <w:t xml:space="preserve"> (1989) provides appeal righ</w:t>
      </w:r>
      <w:r w:rsidR="0065360A">
        <w:t xml:space="preserve">ts </w:t>
      </w:r>
      <w:r>
        <w:t xml:space="preserve">to VCAT in relation to the imposition of a special rate or charge.  The Tribunal has wide powers, which could affect the viability of the special rate or charge.  It can set the rate or charge completely aside if it is satisfied that certain criteria are met.  </w:t>
      </w:r>
      <w:r w:rsidR="0019151A">
        <w:t>Council</w:t>
      </w:r>
      <w:r>
        <w:t xml:space="preserve"> should be</w:t>
      </w:r>
      <w:r w:rsidR="0065360A">
        <w:t xml:space="preserve"> particularly mindful of the iss</w:t>
      </w:r>
      <w:r>
        <w:t>ue of proving that special benefit exists to those that are being levied the rate or charge.</w:t>
      </w:r>
    </w:p>
    <w:p w:rsidR="00BC1661" w:rsidRDefault="00BC1661" w:rsidP="004D0908">
      <w:pPr>
        <w:jc w:val="both"/>
      </w:pPr>
    </w:p>
    <w:p w:rsidR="00E9063E" w:rsidRDefault="00BC1661" w:rsidP="003D0405">
      <w:pPr>
        <w:jc w:val="both"/>
      </w:pPr>
      <w:r>
        <w:t xml:space="preserve">In summary, </w:t>
      </w:r>
      <w:r w:rsidR="007E36BF">
        <w:t xml:space="preserve">the </w:t>
      </w:r>
      <w:r>
        <w:t xml:space="preserve">differential rates </w:t>
      </w:r>
      <w:r w:rsidR="007E36BF">
        <w:t xml:space="preserve">mechanism is </w:t>
      </w:r>
      <w:r>
        <w:t xml:space="preserve">simpler to </w:t>
      </w:r>
      <w:r w:rsidR="007E36BF">
        <w:t>administer than special rates and charges schemes</w:t>
      </w:r>
      <w:r w:rsidR="0065360A">
        <w:t>.</w:t>
      </w:r>
      <w:r>
        <w:t xml:space="preserve">  It is recommended that </w:t>
      </w:r>
      <w:r w:rsidR="0019151A">
        <w:t>Council</w:t>
      </w:r>
      <w:r>
        <w:t xml:space="preserve"> utilises special rates and charges only in the instances outlines below.</w:t>
      </w:r>
    </w:p>
    <w:p w:rsidR="00BC1661" w:rsidRPr="00510740" w:rsidRDefault="00BC1661" w:rsidP="004D0908">
      <w:pPr>
        <w:jc w:val="both"/>
      </w:pPr>
    </w:p>
    <w:p w:rsidR="00BC1661" w:rsidRDefault="00BC1661" w:rsidP="00BC1661">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56" w:name="_Toc499624707"/>
      <w:r>
        <w:t>Strategy Recommendations</w:t>
      </w:r>
      <w:bookmarkEnd w:id="56"/>
    </w:p>
    <w:p w:rsidR="00BC1661" w:rsidRDefault="00BC1661" w:rsidP="00BC1661">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p>
    <w:p w:rsidR="005871FB" w:rsidRDefault="00BC1661" w:rsidP="005871FB">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That </w:t>
      </w:r>
      <w:r w:rsidR="0019151A">
        <w:rPr>
          <w:lang w:val="en-US"/>
        </w:rPr>
        <w:t>Council</w:t>
      </w:r>
      <w:r>
        <w:rPr>
          <w:lang w:val="en-US"/>
        </w:rPr>
        <w:t xml:space="preserve"> use special rates and charges in instances that fit the following circumstances:</w:t>
      </w:r>
    </w:p>
    <w:p w:rsidR="00BC1661" w:rsidRDefault="00BC1661" w:rsidP="005871FB">
      <w:pPr>
        <w:pBdr>
          <w:top w:val="double" w:sz="4" w:space="1" w:color="auto"/>
          <w:left w:val="double" w:sz="4" w:space="4" w:color="auto"/>
          <w:bottom w:val="double" w:sz="4" w:space="1" w:color="auto"/>
          <w:right w:val="double" w:sz="4" w:space="4" w:color="auto"/>
        </w:pBdr>
        <w:shd w:val="clear" w:color="auto" w:fill="95B3D7" w:themeFill="accent1" w:themeFillTint="99"/>
        <w:ind w:firstLine="426"/>
        <w:rPr>
          <w:lang w:val="en-US"/>
        </w:rPr>
      </w:pPr>
      <w:r>
        <w:rPr>
          <w:lang w:val="en-US"/>
        </w:rPr>
        <w:t xml:space="preserve">- </w:t>
      </w:r>
      <w:r w:rsidRPr="00BC1661">
        <w:rPr>
          <w:lang w:val="en-US"/>
        </w:rPr>
        <w:t>Funding of narrowly defined capital projects (e.g. streetscape works, private road sealing) where</w:t>
      </w:r>
    </w:p>
    <w:p w:rsidR="00BC1661" w:rsidRPr="00BC1661" w:rsidRDefault="00BC1661" w:rsidP="005871FB">
      <w:pPr>
        <w:pBdr>
          <w:top w:val="double" w:sz="4" w:space="1" w:color="auto"/>
          <w:left w:val="double" w:sz="4" w:space="4" w:color="auto"/>
          <w:bottom w:val="double" w:sz="4" w:space="1" w:color="auto"/>
          <w:right w:val="double" w:sz="4" w:space="4" w:color="auto"/>
        </w:pBdr>
        <w:shd w:val="clear" w:color="auto" w:fill="95B3D7" w:themeFill="accent1" w:themeFillTint="99"/>
        <w:ind w:firstLine="426"/>
        <w:rPr>
          <w:lang w:val="en-US"/>
        </w:rPr>
      </w:pPr>
      <w:r w:rsidRPr="00BC1661">
        <w:rPr>
          <w:lang w:val="en-US"/>
        </w:rPr>
        <w:t>special benefit can be shown to exist to a grouping of property owners</w:t>
      </w:r>
    </w:p>
    <w:p w:rsidR="00BC1661" w:rsidRDefault="00BC1661" w:rsidP="005871FB">
      <w:pPr>
        <w:pBdr>
          <w:top w:val="double" w:sz="4" w:space="1" w:color="auto"/>
          <w:left w:val="double" w:sz="4" w:space="4" w:color="auto"/>
          <w:bottom w:val="double" w:sz="4" w:space="1" w:color="auto"/>
          <w:right w:val="double" w:sz="4" w:space="4" w:color="auto"/>
        </w:pBdr>
        <w:shd w:val="clear" w:color="auto" w:fill="95B3D7" w:themeFill="accent1" w:themeFillTint="99"/>
        <w:ind w:firstLine="426"/>
        <w:rPr>
          <w:lang w:val="en-US"/>
        </w:rPr>
      </w:pPr>
      <w:r>
        <w:rPr>
          <w:lang w:val="en-US"/>
        </w:rPr>
        <w:t>- Raising funds for a dedicated purpose where the use of CIV is not the most equitable method of</w:t>
      </w:r>
    </w:p>
    <w:p w:rsidR="00BC1661" w:rsidRDefault="00BC1661" w:rsidP="005871FB">
      <w:pPr>
        <w:pBdr>
          <w:top w:val="double" w:sz="4" w:space="1" w:color="auto"/>
          <w:left w:val="double" w:sz="4" w:space="4" w:color="auto"/>
          <w:bottom w:val="double" w:sz="4" w:space="1" w:color="auto"/>
          <w:right w:val="double" w:sz="4" w:space="4" w:color="auto"/>
        </w:pBdr>
        <w:shd w:val="clear" w:color="auto" w:fill="95B3D7" w:themeFill="accent1" w:themeFillTint="99"/>
        <w:ind w:firstLine="426"/>
        <w:rPr>
          <w:lang w:val="en-US"/>
        </w:rPr>
      </w:pPr>
      <w:r>
        <w:rPr>
          <w:lang w:val="en-US"/>
        </w:rPr>
        <w:t>calculating property owner contributions.</w:t>
      </w:r>
    </w:p>
    <w:p w:rsidR="005871FB" w:rsidRDefault="005871FB" w:rsidP="005871FB">
      <w:pPr>
        <w:pBdr>
          <w:top w:val="double" w:sz="4" w:space="1" w:color="auto"/>
          <w:left w:val="double" w:sz="4" w:space="4" w:color="auto"/>
          <w:bottom w:val="double" w:sz="4" w:space="1" w:color="auto"/>
          <w:right w:val="double" w:sz="4" w:space="4" w:color="auto"/>
        </w:pBdr>
        <w:shd w:val="clear" w:color="auto" w:fill="95B3D7" w:themeFill="accent1" w:themeFillTint="99"/>
        <w:ind w:firstLine="426"/>
        <w:rPr>
          <w:lang w:val="en-US"/>
        </w:rPr>
      </w:pPr>
    </w:p>
    <w:p w:rsidR="00510740" w:rsidRPr="0065360A" w:rsidRDefault="00BC1661" w:rsidP="0065360A">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In circumstances outside of the above two scenarios, </w:t>
      </w:r>
      <w:r w:rsidR="0019151A">
        <w:rPr>
          <w:lang w:val="en-US"/>
        </w:rPr>
        <w:t>Council</w:t>
      </w:r>
      <w:r>
        <w:rPr>
          <w:lang w:val="en-US"/>
        </w:rPr>
        <w:t xml:space="preserve"> will use </w:t>
      </w:r>
      <w:r w:rsidR="000C1A2F">
        <w:rPr>
          <w:lang w:val="en-US"/>
        </w:rPr>
        <w:t>other</w:t>
      </w:r>
      <w:r>
        <w:rPr>
          <w:lang w:val="en-US"/>
        </w:rPr>
        <w:t xml:space="preserve"> rating </w:t>
      </w:r>
      <w:r w:rsidR="000C1A2F">
        <w:rPr>
          <w:lang w:val="en-US"/>
        </w:rPr>
        <w:t xml:space="preserve">provisions </w:t>
      </w:r>
      <w:r>
        <w:rPr>
          <w:lang w:val="en-US"/>
        </w:rPr>
        <w:t>to achieve its objectives.</w:t>
      </w:r>
    </w:p>
    <w:p w:rsidR="00510740" w:rsidRDefault="008B5A3D" w:rsidP="00AD5DCC">
      <w:pPr>
        <w:pStyle w:val="Heading1"/>
      </w:pPr>
      <w:bookmarkStart w:id="57" w:name="_Toc499624708"/>
      <w:r>
        <w:t>9.  Municipal charge</w:t>
      </w:r>
      <w:bookmarkEnd w:id="57"/>
    </w:p>
    <w:p w:rsidR="008B5A3D" w:rsidRDefault="008B5A3D" w:rsidP="004D0908">
      <w:pPr>
        <w:jc w:val="both"/>
      </w:pPr>
      <w:r>
        <w:t xml:space="preserve">Another rating option available to </w:t>
      </w:r>
      <w:r w:rsidR="0019151A">
        <w:t>Council</w:t>
      </w:r>
      <w:r>
        <w:t xml:space="preserve">s is the application of a municipal charge.  Under Section 159 or the </w:t>
      </w:r>
      <w:r w:rsidR="00635A1F" w:rsidRPr="00635A1F">
        <w:rPr>
          <w:i/>
        </w:rPr>
        <w:t>Local Government Act</w:t>
      </w:r>
      <w:r>
        <w:t xml:space="preserve"> (1989), </w:t>
      </w:r>
      <w:r w:rsidR="0019151A">
        <w:t>Council</w:t>
      </w:r>
      <w:r>
        <w:t xml:space="preserve"> may declare a municipal charge to cover some of the administrative costs and does not require </w:t>
      </w:r>
      <w:r w:rsidR="0019151A">
        <w:t>Council</w:t>
      </w:r>
      <w:r>
        <w:t xml:space="preserve"> to specify what is covered by the charge.</w:t>
      </w:r>
    </w:p>
    <w:p w:rsidR="008B5A3D" w:rsidRDefault="008B5A3D" w:rsidP="004D0908">
      <w:pPr>
        <w:jc w:val="both"/>
      </w:pPr>
    </w:p>
    <w:p w:rsidR="008B5A3D" w:rsidRDefault="008B5A3D" w:rsidP="004D0908">
      <w:pPr>
        <w:jc w:val="both"/>
      </w:pPr>
      <w:r>
        <w:t xml:space="preserve">A </w:t>
      </w:r>
      <w:r w:rsidR="0019151A">
        <w:t>Council</w:t>
      </w:r>
      <w:r>
        <w:t xml:space="preserve">’s total revenue from a municipal charge in a financial year must not exceed 20 per cent of the combined sum total of the </w:t>
      </w:r>
      <w:r w:rsidR="0019151A">
        <w:t>Council</w:t>
      </w:r>
      <w:r>
        <w:t>’s total revenue from the municipal charge and the revenue from general rates.  The application of a municipal charge represents a choice to raise a portion of the rates by a flat fee for all properties, rather than some use of the CIV valuation method.</w:t>
      </w:r>
    </w:p>
    <w:p w:rsidR="008B5A3D" w:rsidRDefault="008B5A3D" w:rsidP="004D0908">
      <w:pPr>
        <w:jc w:val="both"/>
      </w:pPr>
    </w:p>
    <w:p w:rsidR="008B5A3D" w:rsidRDefault="008B5A3D" w:rsidP="004D0908">
      <w:pPr>
        <w:jc w:val="both"/>
      </w:pPr>
      <w:r>
        <w:t xml:space="preserve">The arguments in favour of a municipal charge are similar to waste charges.  They apply equally to all properties and are based upon the recovery of fixed cost of providing administrative services irrespective of valuation.  The same contribution amount per assessment to cover a portion of </w:t>
      </w:r>
      <w:r w:rsidR="0019151A">
        <w:t>Council</w:t>
      </w:r>
      <w:r>
        <w:t>s administrative costs can be seen as an equitable method of recovering these costs.</w:t>
      </w:r>
    </w:p>
    <w:p w:rsidR="008B5A3D" w:rsidRDefault="008B5A3D" w:rsidP="004D0908">
      <w:pPr>
        <w:jc w:val="both"/>
      </w:pPr>
    </w:p>
    <w:p w:rsidR="008B5A3D" w:rsidRDefault="008B5A3D" w:rsidP="004D0908">
      <w:pPr>
        <w:jc w:val="both"/>
      </w:pPr>
      <w:r>
        <w:t xml:space="preserve">The argument against a municipal charge is that this charge is regressive in nature and would result in lower valued properties paying higher overall rates and charges </w:t>
      </w:r>
      <w:r w:rsidR="000C1A2F">
        <w:t xml:space="preserve">as a percentage of their property value </w:t>
      </w:r>
      <w:r>
        <w:t xml:space="preserve">than they do at present.  </w:t>
      </w:r>
      <w:r w:rsidR="000C1A2F">
        <w:t>Hence, t</w:t>
      </w:r>
      <w:r>
        <w:t>he equity objective in levying rates against property values is lost in a municipal charge as it is levied uniformly across all assessments.</w:t>
      </w:r>
    </w:p>
    <w:p w:rsidR="008B5A3D" w:rsidRDefault="008B5A3D" w:rsidP="004D0908">
      <w:pPr>
        <w:jc w:val="both"/>
      </w:pPr>
    </w:p>
    <w:p w:rsidR="00BC6DD7" w:rsidRDefault="008B5A3D" w:rsidP="004D0908">
      <w:pPr>
        <w:jc w:val="both"/>
      </w:pPr>
      <w:r>
        <w:t xml:space="preserve">Maroondah City </w:t>
      </w:r>
      <w:r w:rsidR="0019151A">
        <w:t>Council</w:t>
      </w:r>
      <w:r>
        <w:t xml:space="preserve"> </w:t>
      </w:r>
      <w:r w:rsidR="00BC6DD7">
        <w:t>do</w:t>
      </w:r>
      <w:r w:rsidR="000C1A2F">
        <w:t>es</w:t>
      </w:r>
      <w:r w:rsidR="00BC6DD7">
        <w:t xml:space="preserve"> not currently use</w:t>
      </w:r>
      <w:r>
        <w:t xml:space="preserve"> the municipal </w:t>
      </w:r>
      <w:r w:rsidR="00BC6DD7">
        <w:t xml:space="preserve">charge </w:t>
      </w:r>
      <w:r>
        <w:t>option</w:t>
      </w:r>
      <w:r w:rsidR="00BC6DD7">
        <w:t>.</w:t>
      </w:r>
    </w:p>
    <w:p w:rsidR="00BC6DD7" w:rsidRDefault="00BC6DD7" w:rsidP="00BC6DD7">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58" w:name="_Toc499624709"/>
      <w:r>
        <w:t>Strategy Recommendations</w:t>
      </w:r>
      <w:bookmarkEnd w:id="58"/>
    </w:p>
    <w:p w:rsidR="00BC6DD7" w:rsidRDefault="00BC6DD7" w:rsidP="00BC6DD7">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p>
    <w:p w:rsidR="00BC6DD7" w:rsidRPr="00022430" w:rsidRDefault="00BC6DD7" w:rsidP="00022430">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That </w:t>
      </w:r>
      <w:r w:rsidR="0019151A">
        <w:rPr>
          <w:lang w:val="en-US"/>
        </w:rPr>
        <w:t>Council</w:t>
      </w:r>
      <w:r>
        <w:rPr>
          <w:lang w:val="en-US"/>
        </w:rPr>
        <w:t xml:space="preserve"> do</w:t>
      </w:r>
      <w:r w:rsidR="000C1A2F">
        <w:rPr>
          <w:lang w:val="en-US"/>
        </w:rPr>
        <w:t>es</w:t>
      </w:r>
      <w:r>
        <w:rPr>
          <w:lang w:val="en-US"/>
        </w:rPr>
        <w:t xml:space="preserve"> not implement a municipal charge.</w:t>
      </w:r>
    </w:p>
    <w:p w:rsidR="00AD5DCC" w:rsidRDefault="00AD5DCC" w:rsidP="00AD5DCC">
      <w:pPr>
        <w:pStyle w:val="NoSpacing"/>
      </w:pPr>
    </w:p>
    <w:p w:rsidR="00AD5DCC" w:rsidRDefault="00AD5DCC" w:rsidP="00AD5DCC">
      <w:pPr>
        <w:pStyle w:val="NoSpacing"/>
      </w:pPr>
    </w:p>
    <w:p w:rsidR="008B5A3D" w:rsidRDefault="00BC6DD7" w:rsidP="00BC6DD7">
      <w:pPr>
        <w:pStyle w:val="Heading1"/>
      </w:pPr>
      <w:bookmarkStart w:id="59" w:name="_Toc499624710"/>
      <w:r>
        <w:t>10.  Service rates and charges</w:t>
      </w:r>
      <w:bookmarkEnd w:id="59"/>
    </w:p>
    <w:p w:rsidR="00BC6DD7" w:rsidRDefault="00BC6DD7" w:rsidP="004D0908">
      <w:pPr>
        <w:pStyle w:val="NoSpacing"/>
      </w:pPr>
      <w:r>
        <w:t xml:space="preserve">Section 162 of the </w:t>
      </w:r>
      <w:r w:rsidR="00635A1F" w:rsidRPr="00635A1F">
        <w:rPr>
          <w:i/>
        </w:rPr>
        <w:t>Local Government Act</w:t>
      </w:r>
      <w:r>
        <w:t xml:space="preserve"> (1989) provides </w:t>
      </w:r>
      <w:r w:rsidR="0019151A">
        <w:t>Council</w:t>
      </w:r>
      <w:r>
        <w:t xml:space="preserve"> with the opportunity to raise service rates and charges fo</w:t>
      </w:r>
      <w:r w:rsidR="004D0908">
        <w:t>r any of the following services:</w:t>
      </w:r>
      <w:r w:rsidR="00C836E3">
        <w:br/>
      </w:r>
    </w:p>
    <w:p w:rsidR="00BC6DD7" w:rsidRDefault="00BC6DD7" w:rsidP="00F96372">
      <w:pPr>
        <w:pStyle w:val="NoSpacing"/>
        <w:numPr>
          <w:ilvl w:val="0"/>
          <w:numId w:val="27"/>
        </w:numPr>
      </w:pPr>
      <w:r>
        <w:t>The provision of a water supply</w:t>
      </w:r>
    </w:p>
    <w:p w:rsidR="00BC6DD7" w:rsidRDefault="00BC6DD7" w:rsidP="00F96372">
      <w:pPr>
        <w:pStyle w:val="NoSpacing"/>
        <w:numPr>
          <w:ilvl w:val="0"/>
          <w:numId w:val="27"/>
        </w:numPr>
      </w:pPr>
      <w:r>
        <w:t>The collection and disposal of refuse</w:t>
      </w:r>
    </w:p>
    <w:p w:rsidR="00BC6DD7" w:rsidRDefault="00BC6DD7" w:rsidP="00F96372">
      <w:pPr>
        <w:pStyle w:val="NoSpacing"/>
        <w:numPr>
          <w:ilvl w:val="0"/>
          <w:numId w:val="27"/>
        </w:numPr>
      </w:pPr>
      <w:r>
        <w:t>The provision of sewerage services</w:t>
      </w:r>
    </w:p>
    <w:p w:rsidR="00BC6DD7" w:rsidRDefault="00BC6DD7" w:rsidP="00F96372">
      <w:pPr>
        <w:pStyle w:val="NoSpacing"/>
        <w:numPr>
          <w:ilvl w:val="0"/>
          <w:numId w:val="27"/>
        </w:numPr>
      </w:pPr>
      <w:r>
        <w:t>Any other prescribed service.</w:t>
      </w:r>
    </w:p>
    <w:p w:rsidR="00BC6DD7" w:rsidRDefault="00BC6DD7" w:rsidP="004D0908">
      <w:pPr>
        <w:pStyle w:val="NoSpacing"/>
      </w:pPr>
    </w:p>
    <w:p w:rsidR="00BC6DD7" w:rsidRDefault="00BC6DD7" w:rsidP="004D0908">
      <w:pPr>
        <w:pStyle w:val="NoSpacing"/>
        <w:jc w:val="both"/>
      </w:pPr>
      <w:r>
        <w:t xml:space="preserve">Maroondah City </w:t>
      </w:r>
      <w:r w:rsidR="0019151A">
        <w:t>Council</w:t>
      </w:r>
      <w:r>
        <w:t xml:space="preserve"> currently appl</w:t>
      </w:r>
      <w:r w:rsidR="000C1A2F">
        <w:t>ies</w:t>
      </w:r>
      <w:r>
        <w:t xml:space="preserve"> a service charge for the collection and disposal of refuse on properties that fall within the collection area.  </w:t>
      </w:r>
      <w:r w:rsidR="0019151A">
        <w:t>Council</w:t>
      </w:r>
      <w:r>
        <w:t xml:space="preserve"> retains the objective of setting the service charge for waste at a level that fully recovers the cost of the waste function</w:t>
      </w:r>
      <w:r w:rsidR="000C1A2F">
        <w:t xml:space="preserve"> for its rate payers</w:t>
      </w:r>
      <w:r>
        <w:t>.</w:t>
      </w:r>
    </w:p>
    <w:p w:rsidR="00BC6DD7" w:rsidRDefault="00BC6DD7" w:rsidP="00BC6DD7"/>
    <w:p w:rsidR="00BC6DD7" w:rsidRDefault="00BC6DD7" w:rsidP="004D0908">
      <w:pPr>
        <w:jc w:val="both"/>
      </w:pPr>
      <w:r>
        <w:t>The advantages of the waste service charge is that it is readily understood and accepted by residents as a fee for a direct service that they receive.  It further provides equity in the rating system in that all residents who receive exactly the same service level all pay an equivalent amount.</w:t>
      </w:r>
    </w:p>
    <w:p w:rsidR="00BC6DD7" w:rsidRDefault="00BC6DD7" w:rsidP="004D0908">
      <w:pPr>
        <w:jc w:val="both"/>
      </w:pPr>
    </w:p>
    <w:p w:rsidR="00BC6DD7" w:rsidRDefault="00BC6DD7" w:rsidP="004D0908">
      <w:pPr>
        <w:jc w:val="both"/>
      </w:pPr>
      <w:r>
        <w:t>The disadvantage of the waste service charge is similar to the municipal charge in that it is regressive in nature.  A fixed charge to a low valued property comprises a far greater proportion of t</w:t>
      </w:r>
      <w:r w:rsidR="00854C33">
        <w:t xml:space="preserve">he overall rates </w:t>
      </w:r>
      <w:r w:rsidR="000C1A2F">
        <w:t xml:space="preserve">to the ratepayer </w:t>
      </w:r>
      <w:r w:rsidR="00854C33">
        <w:t>that it does to a more high</w:t>
      </w:r>
      <w:r>
        <w:t>ly valued property</w:t>
      </w:r>
      <w:r w:rsidR="000C1A2F">
        <w:t xml:space="preserve"> and that ratepayer</w:t>
      </w:r>
      <w:r>
        <w:t>.</w:t>
      </w:r>
    </w:p>
    <w:p w:rsidR="00BC6DD7" w:rsidRDefault="00BC6DD7" w:rsidP="004D0908">
      <w:pPr>
        <w:jc w:val="both"/>
      </w:pPr>
    </w:p>
    <w:p w:rsidR="00BC6DD7" w:rsidRDefault="00BC6DD7" w:rsidP="004D0908">
      <w:pPr>
        <w:jc w:val="both"/>
      </w:pPr>
      <w:r>
        <w:t xml:space="preserve">On balance however </w:t>
      </w:r>
      <w:r w:rsidR="000C1A2F">
        <w:t xml:space="preserve">given that Council secures the best market price by aggregating the demand of this service, </w:t>
      </w:r>
      <w:r>
        <w:t xml:space="preserve">it is recommended that </w:t>
      </w:r>
      <w:r w:rsidR="0019151A">
        <w:t>Council</w:t>
      </w:r>
      <w:r>
        <w:t xml:space="preserve"> retain the existing waste service charge.  Unlike a municipal charge where the direct benefit to the resident is invisible – the </w:t>
      </w:r>
      <w:r w:rsidR="000C1A2F">
        <w:t>refuse</w:t>
      </w:r>
      <w:r>
        <w:t xml:space="preserve"> charge is a tangible service that is provided directly to all in the same fashion.</w:t>
      </w:r>
    </w:p>
    <w:p w:rsidR="00BC6DD7" w:rsidRDefault="00BC6DD7" w:rsidP="004D0908">
      <w:pPr>
        <w:jc w:val="both"/>
      </w:pPr>
    </w:p>
    <w:p w:rsidR="00BC6DD7" w:rsidRDefault="00BC6DD7" w:rsidP="004D0908">
      <w:pPr>
        <w:jc w:val="both"/>
      </w:pPr>
      <w:r>
        <w:t xml:space="preserve">Should </w:t>
      </w:r>
      <w:r w:rsidR="0019151A">
        <w:t>Council</w:t>
      </w:r>
      <w:r>
        <w:t xml:space="preserve"> elect not to have a wast</w:t>
      </w:r>
      <w:r w:rsidR="00854C33">
        <w:t>e service charge,</w:t>
      </w:r>
      <w:r>
        <w:t xml:space="preserve"> this same amount would be required to be raised by way of an increased general rate – meaning that residents in higher valued properties would </w:t>
      </w:r>
      <w:r w:rsidR="00854C33">
        <w:t>substantially</w:t>
      </w:r>
      <w:r>
        <w:t xml:space="preserve"> pay for the waste services of lo</w:t>
      </w:r>
      <w:r w:rsidR="000C1A2F">
        <w:t>w</w:t>
      </w:r>
      <w:r>
        <w:t xml:space="preserve">er valued properties.  Whilst this same principle </w:t>
      </w:r>
      <w:r w:rsidR="008C5996">
        <w:t>applies</w:t>
      </w:r>
      <w:r>
        <w:t xml:space="preserve"> for rates in general, the mix of having a single fixed charge combined with valuatio</w:t>
      </w:r>
      <w:r w:rsidR="00854C33">
        <w:t>n driven rates for the remainder</w:t>
      </w:r>
      <w:r>
        <w:t xml:space="preserve"> of the rate invoice</w:t>
      </w:r>
      <w:r w:rsidR="000C1A2F">
        <w:t xml:space="preserve"> is considered to</w:t>
      </w:r>
      <w:r>
        <w:t xml:space="preserve"> provide a </w:t>
      </w:r>
      <w:r w:rsidR="0065360A">
        <w:t>balanced and equitable outcome</w:t>
      </w:r>
      <w:r w:rsidR="000C1A2F">
        <w:t xml:space="preserve"> for all ratepayers</w:t>
      </w:r>
      <w:r w:rsidR="0065360A">
        <w:t>.</w:t>
      </w:r>
    </w:p>
    <w:p w:rsidR="00BC6DD7" w:rsidRDefault="00BC6DD7" w:rsidP="00BC6DD7">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60" w:name="_Toc499624711"/>
      <w:r>
        <w:t>Strategy Recommendations</w:t>
      </w:r>
      <w:bookmarkEnd w:id="60"/>
    </w:p>
    <w:p w:rsidR="00BC6DD7" w:rsidRDefault="00BC6DD7" w:rsidP="00BC6DD7">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p>
    <w:p w:rsidR="00AD5DCC" w:rsidRPr="00071C8F" w:rsidRDefault="00854C33" w:rsidP="00071C8F">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That </w:t>
      </w:r>
      <w:r w:rsidR="0019151A">
        <w:rPr>
          <w:lang w:val="en-US"/>
        </w:rPr>
        <w:t>Council</w:t>
      </w:r>
      <w:r>
        <w:rPr>
          <w:lang w:val="en-US"/>
        </w:rPr>
        <w:t xml:space="preserve"> continues to apply a </w:t>
      </w:r>
      <w:r w:rsidR="000C1A2F">
        <w:rPr>
          <w:lang w:val="en-US"/>
        </w:rPr>
        <w:t xml:space="preserve">standardized </w:t>
      </w:r>
      <w:r>
        <w:rPr>
          <w:lang w:val="en-US"/>
        </w:rPr>
        <w:t>Waste Service charge as part of its rating strategy based on full cost recovery of the waste function.</w:t>
      </w:r>
    </w:p>
    <w:p w:rsidR="00854C33" w:rsidRDefault="00A7155B" w:rsidP="00A7155B">
      <w:pPr>
        <w:pStyle w:val="Heading1"/>
      </w:pPr>
      <w:bookmarkStart w:id="61" w:name="_Toc499624712"/>
      <w:r>
        <w:t>11.  Rebates</w:t>
      </w:r>
      <w:bookmarkEnd w:id="61"/>
    </w:p>
    <w:p w:rsidR="002820DA" w:rsidRDefault="002820DA" w:rsidP="002820DA">
      <w:pPr>
        <w:pStyle w:val="Heading2"/>
      </w:pPr>
      <w:bookmarkStart w:id="62" w:name="_Toc499624713"/>
      <w:r>
        <w:t>Rebates – LGA Section 169</w:t>
      </w:r>
      <w:bookmarkEnd w:id="62"/>
    </w:p>
    <w:p w:rsidR="002820DA" w:rsidRDefault="002820DA" w:rsidP="004D0908">
      <w:pPr>
        <w:jc w:val="both"/>
        <w:rPr>
          <w:lang w:val="en-US"/>
        </w:rPr>
      </w:pPr>
      <w:r>
        <w:rPr>
          <w:lang w:val="en-US"/>
        </w:rPr>
        <w:t>A rebate is a mechanism through which a targeted group receives a discount or concession to achieve certain objectives.  Essentially rebates are funded through the general rate pool.  More specifically, the amount required to fund the rebate is calculated and is incorporated into the total rates and charges requirement.  For transparency the amount of any rebate or concession funded by ratepayers should be declared on an annual basis.</w:t>
      </w:r>
    </w:p>
    <w:p w:rsidR="002820DA" w:rsidRDefault="002820DA" w:rsidP="004D0908">
      <w:pPr>
        <w:jc w:val="both"/>
        <w:rPr>
          <w:lang w:val="en-US"/>
        </w:rPr>
      </w:pPr>
    </w:p>
    <w:p w:rsidR="002820DA" w:rsidRDefault="0019151A" w:rsidP="004D0908">
      <w:pPr>
        <w:jc w:val="both"/>
        <w:rPr>
          <w:lang w:val="en-US"/>
        </w:rPr>
      </w:pPr>
      <w:r>
        <w:rPr>
          <w:lang w:val="en-US"/>
        </w:rPr>
        <w:t>Council</w:t>
      </w:r>
      <w:r w:rsidR="002820DA">
        <w:rPr>
          <w:lang w:val="en-US"/>
        </w:rPr>
        <w:t xml:space="preserve"> may grant rebates or concessions in accordance with the </w:t>
      </w:r>
      <w:r w:rsidR="00635A1F" w:rsidRPr="00635A1F">
        <w:rPr>
          <w:i/>
          <w:lang w:val="en-US"/>
        </w:rPr>
        <w:t>Local Government Act</w:t>
      </w:r>
      <w:r w:rsidR="002820DA">
        <w:rPr>
          <w:lang w:val="en-US"/>
        </w:rPr>
        <w:t xml:space="preserve"> (1989) to assist the proper development of the municipal district, to preserve, maintain and restore historical, environmental, architectural, or scientific buildings or places of interest important within and to the municipality, to generally assist the property development of all or part of the municipal district.  Generally, conditions or undertakings are required and if not met require the rebate or concession to be repaid in part or in full as the case may be.</w:t>
      </w:r>
    </w:p>
    <w:p w:rsidR="002820DA" w:rsidRDefault="002820DA" w:rsidP="002820DA">
      <w:pPr>
        <w:rPr>
          <w:lang w:val="en-US"/>
        </w:rPr>
      </w:pPr>
    </w:p>
    <w:p w:rsidR="002820DA" w:rsidRDefault="002820DA" w:rsidP="004D0908">
      <w:pPr>
        <w:jc w:val="both"/>
        <w:rPr>
          <w:lang w:val="en-US"/>
        </w:rPr>
      </w:pPr>
      <w:r>
        <w:rPr>
          <w:lang w:val="en-US"/>
        </w:rPr>
        <w:t xml:space="preserve">In 2009 the </w:t>
      </w:r>
      <w:r w:rsidR="00635A1F" w:rsidRPr="00635A1F">
        <w:rPr>
          <w:i/>
          <w:lang w:val="en-US"/>
        </w:rPr>
        <w:t>Local Government Act</w:t>
      </w:r>
      <w:r>
        <w:rPr>
          <w:lang w:val="en-US"/>
        </w:rPr>
        <w:t xml:space="preserve"> (1989) was amended to allow </w:t>
      </w:r>
      <w:r w:rsidR="0019151A">
        <w:rPr>
          <w:lang w:val="en-US"/>
        </w:rPr>
        <w:t>Council</w:t>
      </w:r>
      <w:r>
        <w:rPr>
          <w:lang w:val="en-US"/>
        </w:rPr>
        <w:t xml:space="preserve"> to provide rebates to support the provision of affordable housing by a registered agency. </w:t>
      </w:r>
      <w:r w:rsidR="000C1A2F">
        <w:rPr>
          <w:lang w:val="en-US"/>
        </w:rPr>
        <w:t>Council currently does not have any rebates and i</w:t>
      </w:r>
      <w:r>
        <w:rPr>
          <w:lang w:val="en-US"/>
        </w:rPr>
        <w:t>t is not proposed to provide any rebate for the provision of affordable housing for 2018/2019.</w:t>
      </w:r>
    </w:p>
    <w:p w:rsidR="002820DA" w:rsidRDefault="002820DA" w:rsidP="002820DA">
      <w:pPr>
        <w:pStyle w:val="Heading2"/>
      </w:pPr>
      <w:bookmarkStart w:id="63" w:name="_Toc499624714"/>
      <w:r>
        <w:t>Community Grants</w:t>
      </w:r>
      <w:bookmarkEnd w:id="63"/>
    </w:p>
    <w:p w:rsidR="002820DA" w:rsidRDefault="0019151A" w:rsidP="004D0908">
      <w:pPr>
        <w:jc w:val="both"/>
        <w:rPr>
          <w:lang w:val="en-US"/>
        </w:rPr>
      </w:pPr>
      <w:r>
        <w:rPr>
          <w:lang w:val="en-US"/>
        </w:rPr>
        <w:t>Council</w:t>
      </w:r>
      <w:r w:rsidR="002820DA">
        <w:rPr>
          <w:lang w:val="en-US"/>
        </w:rPr>
        <w:t xml:space="preserve"> operates the community grants, sponsorships, and donations program to support a wide variety of community organisations, events and networks. Based on principles of accountability and transparency, and in lieu of the granting an application for rebates of rates, it is </w:t>
      </w:r>
      <w:r>
        <w:rPr>
          <w:lang w:val="en-US"/>
        </w:rPr>
        <w:t>Council</w:t>
      </w:r>
      <w:r w:rsidR="002820DA">
        <w:rPr>
          <w:lang w:val="en-US"/>
        </w:rPr>
        <w:t xml:space="preserve">’s preference that such organisations apply </w:t>
      </w:r>
      <w:r w:rsidR="00EC1EBE">
        <w:rPr>
          <w:lang w:val="en-US"/>
        </w:rPr>
        <w:t>for funding under this program.</w:t>
      </w:r>
    </w:p>
    <w:p w:rsidR="002820DA" w:rsidRDefault="002820DA" w:rsidP="00EC1EBE">
      <w:pPr>
        <w:pStyle w:val="Heading2"/>
      </w:pPr>
      <w:bookmarkStart w:id="64" w:name="_Toc499624715"/>
      <w:r>
        <w:t>Pensioner Rebates</w:t>
      </w:r>
      <w:bookmarkEnd w:id="64"/>
    </w:p>
    <w:p w:rsidR="002820DA" w:rsidRDefault="002820DA" w:rsidP="004D0908">
      <w:pPr>
        <w:jc w:val="both"/>
        <w:rPr>
          <w:lang w:val="en-US"/>
        </w:rPr>
      </w:pPr>
      <w:r>
        <w:rPr>
          <w:lang w:val="en-US"/>
        </w:rPr>
        <w:t>Holders of a Centrelink or Veterans Affairs Pension Concession card, or a Veteran Affairs Gold card which stipulates TPI or War Widow (excludes Health Care and DVA all conditions, POW, EDA, and dependent cards) may claim a rebate on their sole or principle place of residence.</w:t>
      </w:r>
    </w:p>
    <w:p w:rsidR="00EC1EBE" w:rsidRDefault="00EC1EBE" w:rsidP="004D0908">
      <w:pPr>
        <w:jc w:val="both"/>
        <w:rPr>
          <w:lang w:val="en-US"/>
        </w:rPr>
      </w:pPr>
    </w:p>
    <w:p w:rsidR="00EC1EBE" w:rsidRDefault="00EC1EBE" w:rsidP="004D0908">
      <w:pPr>
        <w:jc w:val="both"/>
        <w:rPr>
          <w:lang w:val="en-US"/>
        </w:rPr>
      </w:pPr>
      <w:r>
        <w:rPr>
          <w:lang w:val="en-US"/>
        </w:rPr>
        <w:t>Th</w:t>
      </w:r>
      <w:r w:rsidR="000C1A2F">
        <w:rPr>
          <w:lang w:val="en-US"/>
        </w:rPr>
        <w:t xml:space="preserve">is </w:t>
      </w:r>
      <w:r>
        <w:rPr>
          <w:lang w:val="en-US"/>
        </w:rPr>
        <w:t>government-funded indexed rebate is provided under the Municipal Rates Concession Scheme.  The rebate is currently $223.80 (</w:t>
      </w:r>
      <w:r w:rsidR="000C1A2F">
        <w:rPr>
          <w:lang w:val="en-US"/>
        </w:rPr>
        <w:t>$</w:t>
      </w:r>
      <w:r>
        <w:rPr>
          <w:lang w:val="en-US"/>
        </w:rPr>
        <w:t xml:space="preserve">218.30 in 2016/2017) or 50% of the rate payment, whichever is the less.  The government has also funded a rebate for eligible pensioners of $50.00 to partially offset the introduction of the Fires Services Property Levy </w:t>
      </w:r>
      <w:r w:rsidR="000C1A2F">
        <w:rPr>
          <w:lang w:val="en-US"/>
        </w:rPr>
        <w:t xml:space="preserve">(FSPL) </w:t>
      </w:r>
      <w:r>
        <w:rPr>
          <w:lang w:val="en-US"/>
        </w:rPr>
        <w:t>in 2013/2014.</w:t>
      </w:r>
      <w:r w:rsidR="000C1A2F">
        <w:rPr>
          <w:lang w:val="en-US"/>
        </w:rPr>
        <w:t xml:space="preserve"> We anticipate the FSPL will be ongoing.</w:t>
      </w:r>
    </w:p>
    <w:p w:rsidR="00EC1EBE" w:rsidRDefault="00EC1EBE" w:rsidP="004D0908">
      <w:pPr>
        <w:jc w:val="both"/>
        <w:rPr>
          <w:lang w:val="en-US"/>
        </w:rPr>
      </w:pPr>
    </w:p>
    <w:p w:rsidR="00C82D39" w:rsidRDefault="00EC1EBE" w:rsidP="004D0908">
      <w:pPr>
        <w:jc w:val="both"/>
        <w:rPr>
          <w:lang w:val="en-US"/>
        </w:rPr>
      </w:pPr>
      <w:r>
        <w:rPr>
          <w:lang w:val="en-US"/>
        </w:rPr>
        <w:t xml:space="preserve">Upon initial application, an ongoing eligibility </w:t>
      </w:r>
      <w:r w:rsidR="000C1A2F">
        <w:rPr>
          <w:lang w:val="en-US"/>
        </w:rPr>
        <w:t xml:space="preserve">for the pensioner rebate </w:t>
      </w:r>
      <w:r>
        <w:rPr>
          <w:lang w:val="en-US"/>
        </w:rPr>
        <w:t xml:space="preserve">is maintained unless rejected by Centrelink or Department of Veterans Affairs during verification process.  Upon acceptance of pensioner </w:t>
      </w:r>
      <w:r w:rsidR="00C82D39">
        <w:rPr>
          <w:lang w:val="en-US"/>
        </w:rPr>
        <w:t>status,</w:t>
      </w:r>
      <w:r>
        <w:rPr>
          <w:lang w:val="en-US"/>
        </w:rPr>
        <w:t xml:space="preserve"> the concession or rebate is deducted from the rate account before payment by the ratepayer.  Applications for the concession must be lodged by 30 June in each year.</w:t>
      </w:r>
    </w:p>
    <w:p w:rsidR="00C82D39" w:rsidRDefault="00C82D39" w:rsidP="00C82D39">
      <w:pPr>
        <w:pStyle w:val="Heading2"/>
      </w:pPr>
      <w:bookmarkStart w:id="65" w:name="_Toc499624716"/>
      <w:r>
        <w:t>Waiver of Rates</w:t>
      </w:r>
      <w:r w:rsidR="005E4C20">
        <w:t xml:space="preserve"> </w:t>
      </w:r>
      <w:r w:rsidR="00DD5F54">
        <w:t xml:space="preserve">by application </w:t>
      </w:r>
      <w:r w:rsidR="005E4C20">
        <w:t xml:space="preserve">– </w:t>
      </w:r>
      <w:r w:rsidR="00DD5F54">
        <w:t>f</w:t>
      </w:r>
      <w:r w:rsidR="005E4C20">
        <w:t xml:space="preserve">inancial </w:t>
      </w:r>
      <w:r w:rsidR="00DD5F54">
        <w:t>h</w:t>
      </w:r>
      <w:r w:rsidR="005E4C20">
        <w:t>ardship</w:t>
      </w:r>
      <w:bookmarkEnd w:id="65"/>
    </w:p>
    <w:p w:rsidR="00DD5F54" w:rsidRDefault="00DD5F54" w:rsidP="004D0908">
      <w:pPr>
        <w:jc w:val="both"/>
        <w:rPr>
          <w:lang w:val="en-US"/>
        </w:rPr>
      </w:pPr>
      <w:r>
        <w:rPr>
          <w:lang w:val="en-US"/>
        </w:rPr>
        <w:t xml:space="preserve">The </w:t>
      </w:r>
      <w:r w:rsidR="00635A1F" w:rsidRPr="00635A1F">
        <w:rPr>
          <w:i/>
          <w:lang w:val="en-US"/>
        </w:rPr>
        <w:t>Local Government Act</w:t>
      </w:r>
      <w:r>
        <w:rPr>
          <w:lang w:val="en-US"/>
        </w:rPr>
        <w:t xml:space="preserve"> (1989) Section 171A provides for </w:t>
      </w:r>
      <w:r w:rsidR="0019151A">
        <w:rPr>
          <w:lang w:val="en-US"/>
        </w:rPr>
        <w:t>Council</w:t>
      </w:r>
      <w:r>
        <w:rPr>
          <w:lang w:val="en-US"/>
        </w:rPr>
        <w:t xml:space="preserve"> to waive the whole or part of any rate or charge if a person is suffering financial hardship; or it could be determined that the rate or charge would cause financial hardship.</w:t>
      </w:r>
    </w:p>
    <w:p w:rsidR="00DD5F54" w:rsidRDefault="00DD5F54" w:rsidP="004D0908">
      <w:pPr>
        <w:jc w:val="both"/>
        <w:rPr>
          <w:lang w:val="en-US"/>
        </w:rPr>
      </w:pPr>
    </w:p>
    <w:p w:rsidR="00DD5F54" w:rsidRDefault="00DD5F54" w:rsidP="004D0908">
      <w:pPr>
        <w:jc w:val="both"/>
        <w:rPr>
          <w:lang w:val="en-US"/>
        </w:rPr>
      </w:pPr>
      <w:r w:rsidRPr="00DE0B22">
        <w:t xml:space="preserve">As rates are a measure of the value of services rendered by </w:t>
      </w:r>
      <w:r w:rsidR="0019151A">
        <w:t>Council</w:t>
      </w:r>
      <w:r w:rsidRPr="00DE0B22">
        <w:t xml:space="preserve"> to each property, </w:t>
      </w:r>
      <w:r w:rsidR="000C1A2F">
        <w:t xml:space="preserve">it is </w:t>
      </w:r>
      <w:r w:rsidRPr="00DE0B22">
        <w:t xml:space="preserve">a matter of principle </w:t>
      </w:r>
      <w:r w:rsidR="000C1A2F">
        <w:t xml:space="preserve">that </w:t>
      </w:r>
      <w:r w:rsidR="00E9613D">
        <w:t xml:space="preserve">Maroondah City </w:t>
      </w:r>
      <w:r w:rsidR="0019151A">
        <w:t>Council</w:t>
      </w:r>
      <w:r w:rsidRPr="00DE0B22">
        <w:t xml:space="preserve"> has determined not to waive rates but to allow </w:t>
      </w:r>
      <w:r>
        <w:t>them</w:t>
      </w:r>
      <w:r w:rsidRPr="00DE0B22">
        <w:t xml:space="preserve"> to stand as a charge against </w:t>
      </w:r>
      <w:r>
        <w:t xml:space="preserve">the </w:t>
      </w:r>
      <w:r w:rsidRPr="00DE0B22">
        <w:t xml:space="preserve">property to which the benefit of services has been provided.  </w:t>
      </w:r>
    </w:p>
    <w:p w:rsidR="00DD5F54" w:rsidRPr="00DD5F54" w:rsidRDefault="00DD5F54" w:rsidP="004D0908">
      <w:pPr>
        <w:jc w:val="both"/>
        <w:rPr>
          <w:lang w:val="en-US"/>
        </w:rPr>
      </w:pPr>
    </w:p>
    <w:p w:rsidR="006D7110" w:rsidRDefault="00040ED2" w:rsidP="004D0908">
      <w:pPr>
        <w:jc w:val="both"/>
      </w:pPr>
      <w:r>
        <w:t xml:space="preserve">As </w:t>
      </w:r>
      <w:r w:rsidR="006D7110">
        <w:t xml:space="preserve">Section 7 of Maroondah City </w:t>
      </w:r>
      <w:r w:rsidR="0019151A">
        <w:t>Council</w:t>
      </w:r>
      <w:r w:rsidR="006D7110">
        <w:t>’s Rate Collection and Financial Hardship Policy refers to financial hardship more simply as a ratepayer/property owner who is unable to meet their financial obligation of rate payment amounts and/or deadlines</w:t>
      </w:r>
      <w:r>
        <w:t>,</w:t>
      </w:r>
      <w:r w:rsidR="006D7110">
        <w:t xml:space="preserve"> and provides for individually tailored payment plans to assist meet the</w:t>
      </w:r>
      <w:r>
        <w:t xml:space="preserve"> financial rate burden as </w:t>
      </w:r>
      <w:r w:rsidR="0019151A">
        <w:t>Council</w:t>
      </w:r>
      <w:r>
        <w:t xml:space="preserve"> consider this to be more equitable across the municipality.  </w:t>
      </w:r>
    </w:p>
    <w:p w:rsidR="00040ED2" w:rsidRDefault="00040ED2" w:rsidP="004D0908">
      <w:pPr>
        <w:jc w:val="both"/>
      </w:pPr>
    </w:p>
    <w:p w:rsidR="00EC1EBE" w:rsidRDefault="00EC1EBE" w:rsidP="00EC1EBE">
      <w:pPr>
        <w:pStyle w:val="Heading2"/>
      </w:pPr>
      <w:bookmarkStart w:id="66" w:name="_Toc499624717"/>
      <w:r>
        <w:t>Exceptions from Rating</w:t>
      </w:r>
      <w:bookmarkEnd w:id="66"/>
    </w:p>
    <w:p w:rsidR="00EC1EBE" w:rsidRDefault="00EC1EBE" w:rsidP="004D0908">
      <w:pPr>
        <w:jc w:val="both"/>
        <w:rPr>
          <w:lang w:val="en-US"/>
        </w:rPr>
      </w:pPr>
      <w:r>
        <w:rPr>
          <w:lang w:val="en-US"/>
        </w:rPr>
        <w:t xml:space="preserve">The </w:t>
      </w:r>
      <w:r w:rsidR="00635A1F" w:rsidRPr="00635A1F">
        <w:rPr>
          <w:i/>
          <w:lang w:val="en-US"/>
        </w:rPr>
        <w:t>Local Government Act</w:t>
      </w:r>
      <w:r>
        <w:rPr>
          <w:lang w:val="en-US"/>
        </w:rPr>
        <w:t xml:space="preserve"> (1989)</w:t>
      </w:r>
      <w:r w:rsidR="00C82D39">
        <w:rPr>
          <w:lang w:val="en-US"/>
        </w:rPr>
        <w:t xml:space="preserve"> Section 154 declares that all land is rateable with several exceptions including Crown land occupied for municipal purposes, land used exclusively for charitable purposes, the residence of a practicing Minister of Religion, certain land used for mining purposes, clubs or memorials under the Patriotic Funds Act, Returned Services League and related associations as defined.  Generally, land is not used exclusively for public municipal or charitable purposes if </w:t>
      </w:r>
      <w:r w:rsidR="002A4C2F">
        <w:rPr>
          <w:lang w:val="en-US"/>
        </w:rPr>
        <w:t>it is a residence and</w:t>
      </w:r>
      <w:r w:rsidR="00C82D39">
        <w:rPr>
          <w:lang w:val="en-US"/>
        </w:rPr>
        <w:t xml:space="preserve"> is used for the retail sale of goods or the carrying on a business for profit.</w:t>
      </w:r>
    </w:p>
    <w:p w:rsidR="00C82D39" w:rsidRDefault="00C82D39" w:rsidP="004D0908">
      <w:pPr>
        <w:jc w:val="both"/>
        <w:rPr>
          <w:lang w:val="en-US"/>
        </w:rPr>
      </w:pPr>
    </w:p>
    <w:p w:rsidR="00C82D39" w:rsidRDefault="00C82D39" w:rsidP="004D0908">
      <w:pPr>
        <w:jc w:val="both"/>
        <w:rPr>
          <w:lang w:val="en-US"/>
        </w:rPr>
      </w:pPr>
      <w:r>
        <w:rPr>
          <w:lang w:val="en-US"/>
        </w:rPr>
        <w:t>A review of non-rateable properties is scheduled to ensure that these properties are in fact eligible for</w:t>
      </w:r>
      <w:r w:rsidR="00022430">
        <w:rPr>
          <w:lang w:val="en-US"/>
        </w:rPr>
        <w:t xml:space="preserve"> exemption for rating purposes.</w:t>
      </w:r>
    </w:p>
    <w:p w:rsidR="00C82D39" w:rsidRDefault="00C82D39" w:rsidP="00C82D39">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67" w:name="_Toc499624718"/>
      <w:r>
        <w:t>Strategy Recommendations</w:t>
      </w:r>
      <w:bookmarkEnd w:id="67"/>
    </w:p>
    <w:p w:rsidR="002A4C2F" w:rsidRDefault="00C82D39" w:rsidP="00C82D39">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That </w:t>
      </w:r>
      <w:r w:rsidR="0019151A">
        <w:rPr>
          <w:lang w:val="en-US"/>
        </w:rPr>
        <w:t>Council</w:t>
      </w:r>
      <w:r w:rsidR="002A4C2F">
        <w:rPr>
          <w:lang w:val="en-US"/>
        </w:rPr>
        <w:t>:</w:t>
      </w:r>
    </w:p>
    <w:p w:rsidR="00C82D39" w:rsidRDefault="002A4C2F" w:rsidP="00C836E3">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 xml:space="preserve">1. </w:t>
      </w:r>
      <w:r w:rsidR="00C82D39">
        <w:rPr>
          <w:lang w:val="en-US"/>
        </w:rPr>
        <w:t>continues to promote the pensioner rebate provided by the Victorian Government to</w:t>
      </w:r>
      <w:r w:rsidR="00C836E3">
        <w:rPr>
          <w:lang w:val="en-US"/>
        </w:rPr>
        <w:t xml:space="preserve"> </w:t>
      </w:r>
      <w:r w:rsidR="00C82D39">
        <w:rPr>
          <w:lang w:val="en-US"/>
        </w:rPr>
        <w:t>ratepayer who a</w:t>
      </w:r>
      <w:r>
        <w:rPr>
          <w:lang w:val="en-US"/>
        </w:rPr>
        <w:t>pply and qualify for the rebate and</w:t>
      </w:r>
    </w:p>
    <w:p w:rsidR="00040ED2" w:rsidRDefault="00C82D39" w:rsidP="00C82D39">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2.  review non-rateable properties to ensure that they qualify for exemption from rating.</w:t>
      </w:r>
    </w:p>
    <w:p w:rsidR="00634254" w:rsidRDefault="00634254" w:rsidP="00634254">
      <w:pPr>
        <w:pStyle w:val="NoSpacing"/>
        <w:rPr>
          <w:lang w:val="en-US"/>
        </w:rPr>
      </w:pPr>
    </w:p>
    <w:p w:rsidR="002820DA" w:rsidRDefault="00635A1F" w:rsidP="00635A1F">
      <w:pPr>
        <w:pStyle w:val="Heading1"/>
        <w:rPr>
          <w:lang w:val="en-US"/>
        </w:rPr>
      </w:pPr>
      <w:bookmarkStart w:id="68" w:name="_Toc499624719"/>
      <w:r>
        <w:rPr>
          <w:lang w:val="en-US"/>
        </w:rPr>
        <w:t>12.  Rate payment collections</w:t>
      </w:r>
      <w:bookmarkEnd w:id="68"/>
    </w:p>
    <w:p w:rsidR="00635A1F" w:rsidRDefault="00635A1F" w:rsidP="00635A1F">
      <w:pPr>
        <w:pStyle w:val="Heading2"/>
      </w:pPr>
      <w:bookmarkStart w:id="69" w:name="_Toc499624720"/>
      <w:r>
        <w:t>Liability to Pay Rates</w:t>
      </w:r>
      <w:bookmarkEnd w:id="69"/>
    </w:p>
    <w:p w:rsidR="00635A1F" w:rsidRDefault="00635A1F" w:rsidP="004D0908">
      <w:pPr>
        <w:jc w:val="both"/>
        <w:rPr>
          <w:lang w:val="en-US"/>
        </w:rPr>
      </w:pPr>
      <w:r w:rsidRPr="00635A1F">
        <w:rPr>
          <w:i/>
          <w:lang w:val="en-US"/>
        </w:rPr>
        <w:t>Local Government Act</w:t>
      </w:r>
      <w:r>
        <w:rPr>
          <w:lang w:val="en-US"/>
        </w:rPr>
        <w:t xml:space="preserve"> (1989) Section 156 makes the owner of the land liable to pay the rates and charges on that land.  In certain cases, the occupier, mortgagee, or licensee holder is liable to pay the rates.</w:t>
      </w:r>
    </w:p>
    <w:p w:rsidR="00635A1F" w:rsidRDefault="00635A1F" w:rsidP="004D0908">
      <w:pPr>
        <w:jc w:val="both"/>
        <w:rPr>
          <w:lang w:val="en-US"/>
        </w:rPr>
      </w:pPr>
    </w:p>
    <w:p w:rsidR="00D2799C" w:rsidRDefault="00635A1F" w:rsidP="004D0908">
      <w:pPr>
        <w:jc w:val="both"/>
        <w:rPr>
          <w:lang w:val="en-US"/>
        </w:rPr>
      </w:pPr>
      <w:r>
        <w:rPr>
          <w:lang w:val="en-US"/>
        </w:rPr>
        <w:t xml:space="preserve">The </w:t>
      </w:r>
      <w:r w:rsidRPr="00635A1F">
        <w:rPr>
          <w:i/>
          <w:lang w:val="en-US"/>
        </w:rPr>
        <w:t>Local Government Act</w:t>
      </w:r>
      <w:r>
        <w:rPr>
          <w:lang w:val="en-US"/>
        </w:rPr>
        <w:t xml:space="preserve"> (1989)</w:t>
      </w:r>
      <w:r w:rsidR="00D2799C">
        <w:rPr>
          <w:lang w:val="en-US"/>
        </w:rPr>
        <w:t xml:space="preserve"> Section 156 (6) declares the rate or charge, unpaid interest or costs to be a first charge upon the land.</w:t>
      </w:r>
    </w:p>
    <w:p w:rsidR="00D2799C" w:rsidRDefault="00D2799C" w:rsidP="00D2799C">
      <w:pPr>
        <w:pStyle w:val="Heading2"/>
      </w:pPr>
      <w:bookmarkStart w:id="70" w:name="_Toc499624721"/>
      <w:r>
        <w:t>Current Payment Dates for Rates</w:t>
      </w:r>
      <w:bookmarkEnd w:id="70"/>
    </w:p>
    <w:p w:rsidR="00D2799C" w:rsidRDefault="0019151A" w:rsidP="004D0908">
      <w:pPr>
        <w:jc w:val="both"/>
        <w:rPr>
          <w:lang w:val="en-US"/>
        </w:rPr>
      </w:pPr>
      <w:r>
        <w:rPr>
          <w:lang w:val="en-US"/>
        </w:rPr>
        <w:t>Council</w:t>
      </w:r>
      <w:r w:rsidR="00D2799C">
        <w:rPr>
          <w:lang w:val="en-US"/>
        </w:rPr>
        <w:t xml:space="preserve">, in accordance with the </w:t>
      </w:r>
      <w:r w:rsidR="00D2799C">
        <w:rPr>
          <w:i/>
          <w:lang w:val="en-US"/>
        </w:rPr>
        <w:t xml:space="preserve">Local Government Act </w:t>
      </w:r>
      <w:r w:rsidR="00D2799C">
        <w:rPr>
          <w:lang w:val="en-US"/>
        </w:rPr>
        <w:t xml:space="preserve">(1989) Section 167 (1) </w:t>
      </w:r>
      <w:r w:rsidR="00D2799C">
        <w:rPr>
          <w:b/>
          <w:u w:val="single"/>
          <w:lang w:val="en-US"/>
        </w:rPr>
        <w:t>must</w:t>
      </w:r>
      <w:r w:rsidR="00D2799C">
        <w:rPr>
          <w:lang w:val="en-US"/>
        </w:rPr>
        <w:t xml:space="preserve"> allow for the payment of rates by four instalments per annum.  </w:t>
      </w:r>
      <w:r>
        <w:rPr>
          <w:lang w:val="en-US"/>
        </w:rPr>
        <w:t>Council</w:t>
      </w:r>
      <w:r w:rsidR="00D2799C">
        <w:rPr>
          <w:lang w:val="en-US"/>
        </w:rPr>
        <w:t xml:space="preserve"> </w:t>
      </w:r>
      <w:r w:rsidR="00D2799C">
        <w:rPr>
          <w:b/>
          <w:u w:val="single"/>
          <w:lang w:val="en-US"/>
        </w:rPr>
        <w:t>may</w:t>
      </w:r>
      <w:r w:rsidR="00D2799C">
        <w:rPr>
          <w:lang w:val="en-US"/>
        </w:rPr>
        <w:t xml:space="preserve"> allow a person to pay a rate or charge in a single lump sum payment </w:t>
      </w:r>
      <w:r w:rsidR="00D2799C">
        <w:rPr>
          <w:i/>
          <w:lang w:val="en-US"/>
        </w:rPr>
        <w:t xml:space="preserve">Local Government Act </w:t>
      </w:r>
      <w:r w:rsidR="00D2799C">
        <w:rPr>
          <w:lang w:val="en-US"/>
        </w:rPr>
        <w:t>(1989) Section 167 (2).</w:t>
      </w:r>
    </w:p>
    <w:p w:rsidR="00D2799C" w:rsidRDefault="00D2799C" w:rsidP="004D0908">
      <w:pPr>
        <w:jc w:val="both"/>
        <w:rPr>
          <w:lang w:val="en-US"/>
        </w:rPr>
      </w:pPr>
    </w:p>
    <w:p w:rsidR="00D2799C" w:rsidRDefault="00D2799C" w:rsidP="004D0908">
      <w:pPr>
        <w:jc w:val="both"/>
        <w:rPr>
          <w:lang w:val="en-US"/>
        </w:rPr>
      </w:pPr>
      <w:r>
        <w:rPr>
          <w:lang w:val="en-US"/>
        </w:rPr>
        <w:t>The Minister fixes instalment and single lump sum payment dates by notices published in the Government gazette.</w:t>
      </w:r>
    </w:p>
    <w:p w:rsidR="00D2799C" w:rsidRDefault="00D2799C" w:rsidP="004D0908">
      <w:pPr>
        <w:jc w:val="both"/>
        <w:rPr>
          <w:lang w:val="en-US"/>
        </w:rPr>
      </w:pPr>
    </w:p>
    <w:p w:rsidR="00D2799C" w:rsidRPr="00D2799C" w:rsidRDefault="00D2799C" w:rsidP="004D0908">
      <w:pPr>
        <w:jc w:val="both"/>
        <w:rPr>
          <w:b/>
          <w:i/>
          <w:lang w:val="en-US"/>
        </w:rPr>
      </w:pPr>
      <w:r>
        <w:rPr>
          <w:lang w:val="en-US"/>
        </w:rPr>
        <w:t>Under the mandatory instalment opt</w:t>
      </w:r>
      <w:r w:rsidR="008C5996">
        <w:rPr>
          <w:lang w:val="en-US"/>
        </w:rPr>
        <w:t xml:space="preserve">ion, interest will be charged if </w:t>
      </w:r>
      <w:r w:rsidR="002A4C2F">
        <w:rPr>
          <w:lang w:val="en-US"/>
        </w:rPr>
        <w:t>n</w:t>
      </w:r>
      <w:r w:rsidR="008C5996">
        <w:rPr>
          <w:lang w:val="en-US"/>
        </w:rPr>
        <w:t>either the first instalment nor the lump sum amount was paid by the said due date and will be calculated from the date on which each missed instalment was due.</w:t>
      </w:r>
    </w:p>
    <w:p w:rsidR="0041616F" w:rsidRDefault="0041616F" w:rsidP="004D0908">
      <w:pPr>
        <w:jc w:val="both"/>
      </w:pPr>
    </w:p>
    <w:p w:rsidR="002A4C2F" w:rsidRDefault="002A4C2F" w:rsidP="004D0908">
      <w:pPr>
        <w:jc w:val="both"/>
      </w:pPr>
      <w:r>
        <w:t>Council has also introduced a 9 month direct debit payment option which has proven very beneficial for some ratepayers.</w:t>
      </w:r>
    </w:p>
    <w:p w:rsidR="002A4C2F" w:rsidRDefault="002A4C2F" w:rsidP="004D0908">
      <w:pPr>
        <w:jc w:val="both"/>
      </w:pPr>
    </w:p>
    <w:p w:rsidR="008C5996" w:rsidRDefault="008C5996" w:rsidP="004D0908">
      <w:pPr>
        <w:jc w:val="both"/>
      </w:pPr>
      <w:r>
        <w:t xml:space="preserve">Currently Maroondah City </w:t>
      </w:r>
      <w:r w:rsidR="0019151A">
        <w:t>Council</w:t>
      </w:r>
      <w:r>
        <w:t xml:space="preserve"> ha</w:t>
      </w:r>
      <w:r w:rsidR="002A4C2F">
        <w:t>s a</w:t>
      </w:r>
      <w:r>
        <w:t xml:space="preserve"> 50/50 match of those residents taking up the instalment option</w:t>
      </w:r>
      <w:r w:rsidR="002A4C2F">
        <w:t>s</w:t>
      </w:r>
      <w:r>
        <w:t xml:space="preserve"> and those choosing to pay in full in February.  </w:t>
      </w:r>
    </w:p>
    <w:p w:rsidR="008C5996" w:rsidRDefault="008C5996" w:rsidP="004D0908">
      <w:pPr>
        <w:jc w:val="both"/>
      </w:pPr>
    </w:p>
    <w:p w:rsidR="008C5996" w:rsidRPr="0041616F" w:rsidRDefault="008C5996" w:rsidP="004D0908">
      <w:pPr>
        <w:jc w:val="both"/>
      </w:pPr>
      <w:r>
        <w:t xml:space="preserve">This </w:t>
      </w:r>
      <w:r w:rsidR="002A4C2F">
        <w:t>S</w:t>
      </w:r>
      <w:r>
        <w:t xml:space="preserve">trategy therefore recommends that </w:t>
      </w:r>
      <w:r w:rsidR="0019151A">
        <w:t>Council</w:t>
      </w:r>
      <w:r>
        <w:t xml:space="preserve"> make no changes to the payment methodology but continue to monitor and review the </w:t>
      </w:r>
      <w:r w:rsidR="001C5E6E">
        <w:t>take up of both the quarterly and lump sum payment options</w:t>
      </w:r>
      <w:r>
        <w:t>.</w:t>
      </w:r>
    </w:p>
    <w:p w:rsidR="008C5996" w:rsidRDefault="008C5996" w:rsidP="008C5996">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71" w:name="_Toc499624722"/>
      <w:r>
        <w:t>Strategy Recommendations</w:t>
      </w:r>
      <w:bookmarkEnd w:id="71"/>
    </w:p>
    <w:p w:rsidR="00634254" w:rsidRPr="00071C8F" w:rsidRDefault="008C5996" w:rsidP="004D0908">
      <w:pPr>
        <w:pBdr>
          <w:top w:val="double" w:sz="4" w:space="1" w:color="auto"/>
          <w:left w:val="double" w:sz="4" w:space="4" w:color="auto"/>
          <w:bottom w:val="double" w:sz="4" w:space="1" w:color="auto"/>
          <w:right w:val="double" w:sz="4" w:space="4" w:color="auto"/>
        </w:pBdr>
        <w:shd w:val="clear" w:color="auto" w:fill="95B3D7" w:themeFill="accent1" w:themeFillTint="99"/>
        <w:jc w:val="both"/>
        <w:rPr>
          <w:lang w:val="en-US"/>
        </w:rPr>
      </w:pPr>
      <w:r>
        <w:rPr>
          <w:lang w:val="en-US"/>
        </w:rPr>
        <w:t xml:space="preserve">That </w:t>
      </w:r>
      <w:r w:rsidR="0019151A">
        <w:rPr>
          <w:lang w:val="en-US"/>
        </w:rPr>
        <w:t>Council</w:t>
      </w:r>
      <w:r>
        <w:rPr>
          <w:lang w:val="en-US"/>
        </w:rPr>
        <w:t xml:space="preserve"> continues to apply both the quarterly instalment payment option and the lump sum </w:t>
      </w:r>
      <w:r w:rsidR="001C5E6E">
        <w:rPr>
          <w:lang w:val="en-US"/>
        </w:rPr>
        <w:t>payment option combined with the additional option of a nine monthly instalment payment plan to encourage greater use of the direct debit payment approach.</w:t>
      </w:r>
      <w:r w:rsidR="00071C8F">
        <w:rPr>
          <w:lang w:val="en-US"/>
        </w:rPr>
        <w:tab/>
      </w:r>
    </w:p>
    <w:p w:rsidR="00510740" w:rsidRDefault="001C5E6E" w:rsidP="001C5E6E">
      <w:pPr>
        <w:pStyle w:val="Heading1"/>
      </w:pPr>
      <w:bookmarkStart w:id="72" w:name="_Toc499624723"/>
      <w:r>
        <w:t>13.  State Government Levies</w:t>
      </w:r>
      <w:bookmarkEnd w:id="72"/>
    </w:p>
    <w:p w:rsidR="001C5E6E" w:rsidRDefault="001C5E6E" w:rsidP="004D0908">
      <w:pPr>
        <w:jc w:val="both"/>
      </w:pPr>
      <w:r>
        <w:t xml:space="preserve">In recent years, </w:t>
      </w:r>
      <w:r w:rsidR="0019151A">
        <w:t>Council</w:t>
      </w:r>
      <w:r>
        <w:t xml:space="preserve"> has seen an increased propensity for State Government to view Local Government as a means of collecting State taxes under the branding of </w:t>
      </w:r>
      <w:r w:rsidR="0019151A">
        <w:t>Council</w:t>
      </w:r>
      <w:r>
        <w:t>s rate notice</w:t>
      </w:r>
      <w:r w:rsidR="002A4C2F">
        <w:t>, given that local authorities are a trusted and efficient mechanism as a collection agency</w:t>
      </w:r>
      <w:r>
        <w:t>.</w:t>
      </w:r>
    </w:p>
    <w:p w:rsidR="001C5E6E" w:rsidRDefault="001C5E6E" w:rsidP="004D0908">
      <w:pPr>
        <w:jc w:val="both"/>
      </w:pPr>
    </w:p>
    <w:p w:rsidR="001C5E6E" w:rsidRDefault="001C5E6E" w:rsidP="004D0908">
      <w:pPr>
        <w:jc w:val="both"/>
      </w:pPr>
      <w:r>
        <w:t xml:space="preserve">This occurred with the now defunct State Deficit Levy in the 1990’s and has in recent times been revived with </w:t>
      </w:r>
      <w:r w:rsidR="0019151A">
        <w:t>Council</w:t>
      </w:r>
      <w:r>
        <w:t xml:space="preserve">s </w:t>
      </w:r>
      <w:r w:rsidR="002A4C2F">
        <w:t xml:space="preserve">as the landfill levy with Councils </w:t>
      </w:r>
      <w:r>
        <w:t xml:space="preserve">having to collect </w:t>
      </w:r>
      <w:r w:rsidR="002A4C2F">
        <w:t>this amount from ratepayers (which for Maroondah is contained in the waste charge) and paid to the</w:t>
      </w:r>
      <w:r>
        <w:t xml:space="preserve"> landfill </w:t>
      </w:r>
      <w:r w:rsidR="002A4C2F">
        <w:t xml:space="preserve">operator who pays the </w:t>
      </w:r>
      <w:r>
        <w:t xml:space="preserve">levy to the State Government.  </w:t>
      </w:r>
      <w:r w:rsidR="0019151A">
        <w:t>Council</w:t>
      </w:r>
      <w:r>
        <w:t xml:space="preserve"> is now required to </w:t>
      </w:r>
      <w:r w:rsidR="002A4C2F">
        <w:t xml:space="preserve">also </w:t>
      </w:r>
      <w:r>
        <w:t>collect a Fire Services Property Levey (FSPL) on behalf of the State Government which has added a considerable amount to the average ratepayer’s account.</w:t>
      </w:r>
    </w:p>
    <w:p w:rsidR="001C5E6E" w:rsidRDefault="001C5E6E" w:rsidP="001C5E6E"/>
    <w:p w:rsidR="001C5E6E" w:rsidRDefault="001C5E6E" w:rsidP="004D0908">
      <w:pPr>
        <w:jc w:val="both"/>
      </w:pPr>
      <w:r>
        <w:t xml:space="preserve">From 1 July 2013 a fire services property levy appeared as a separate charge on </w:t>
      </w:r>
      <w:r w:rsidR="0019151A">
        <w:t>Council</w:t>
      </w:r>
      <w:r>
        <w:t xml:space="preserve">’s rates notices for the first time.  All Victorian </w:t>
      </w:r>
      <w:r w:rsidR="0019151A">
        <w:t>Council</w:t>
      </w:r>
      <w:r>
        <w:t>s are required to collect this levy and must pass the full amount collected to the State Revenue Office.</w:t>
      </w:r>
    </w:p>
    <w:p w:rsidR="001C5E6E" w:rsidRDefault="001C5E6E" w:rsidP="004D0908">
      <w:pPr>
        <w:jc w:val="both"/>
      </w:pPr>
    </w:p>
    <w:p w:rsidR="001C5E6E" w:rsidRDefault="002A4C2F" w:rsidP="004D0908">
      <w:pPr>
        <w:jc w:val="both"/>
      </w:pPr>
      <w:r>
        <w:t>This change occurred as a result of a</w:t>
      </w:r>
      <w:r w:rsidR="001C5E6E">
        <w:t xml:space="preserve"> recommendation of the </w:t>
      </w:r>
      <w:r>
        <w:t>2009 Bushfires Royal Commission. T</w:t>
      </w:r>
      <w:r w:rsidR="001C5E6E">
        <w:t xml:space="preserve">he FSPL is replacing a previous fire </w:t>
      </w:r>
      <w:r>
        <w:t xml:space="preserve">services </w:t>
      </w:r>
      <w:r w:rsidR="001C5E6E">
        <w:t>levy that was paid through property insurance premiums (such as building and contents insurance).  The FSPL will help to fund the cost of the Metropolitan Fire and Emergency Services Board (MF</w:t>
      </w:r>
      <w:r>
        <w:t>ESB</w:t>
      </w:r>
      <w:r w:rsidR="001C5E6E">
        <w:t xml:space="preserve">) and the Country Fire Authority (CFA).  To ensure everyone contributes, the Victorian Government has determined that all property owners will pay the levy – even properties that are eligible for a </w:t>
      </w:r>
      <w:r w:rsidR="0019151A">
        <w:t>Council</w:t>
      </w:r>
      <w:r w:rsidR="001C5E6E">
        <w:t xml:space="preserve"> rates exemption.</w:t>
      </w:r>
    </w:p>
    <w:p w:rsidR="001C5E6E" w:rsidRDefault="001C5E6E" w:rsidP="001C5E6E"/>
    <w:p w:rsidR="001C5E6E" w:rsidRDefault="001C5E6E" w:rsidP="004D0908">
      <w:pPr>
        <w:jc w:val="both"/>
      </w:pPr>
      <w:r>
        <w:t>Separate levy rates apply in MFB and CFA areas</w:t>
      </w:r>
      <w:r w:rsidR="007E75D1">
        <w:t>:</w:t>
      </w:r>
    </w:p>
    <w:p w:rsidR="007E75D1" w:rsidRDefault="007E75D1" w:rsidP="00F96372">
      <w:pPr>
        <w:pStyle w:val="ListParagraph"/>
        <w:numPr>
          <w:ilvl w:val="0"/>
          <w:numId w:val="7"/>
        </w:numPr>
        <w:jc w:val="both"/>
      </w:pPr>
      <w:r>
        <w:t>For residential properties (including vacant residential land) the levy for 2017/2018 is a $107.00 fixed charge plus a variable rate set by the Government and calculated as a percentage of the capital improved value (CIV) of the property.</w:t>
      </w:r>
    </w:p>
    <w:p w:rsidR="007E75D1" w:rsidRDefault="007E75D1" w:rsidP="00F96372">
      <w:pPr>
        <w:pStyle w:val="ListParagraph"/>
        <w:numPr>
          <w:ilvl w:val="0"/>
          <w:numId w:val="7"/>
        </w:numPr>
        <w:jc w:val="both"/>
      </w:pPr>
      <w:r>
        <w:t>For non-residential properties the 2017/2018 fixed charge is a $216.00 fixed charge plus a variable rate set by the Government and calculated as a percentage of the capital improved value (CIV) of the property.</w:t>
      </w:r>
    </w:p>
    <w:p w:rsidR="007E75D1" w:rsidRDefault="007E75D1" w:rsidP="00F96372">
      <w:pPr>
        <w:pStyle w:val="ListParagraph"/>
        <w:numPr>
          <w:ilvl w:val="0"/>
          <w:numId w:val="7"/>
        </w:numPr>
        <w:jc w:val="both"/>
      </w:pPr>
      <w:r>
        <w:t>Each property classification (residential, commercial, industrial, primary production, public benefit, and vacant land (non-residential) has its own variable rate, and will be set by the Victoria Government no later thatn31 May each year.</w:t>
      </w:r>
    </w:p>
    <w:p w:rsidR="007E75D1" w:rsidRDefault="007E75D1" w:rsidP="007E75D1">
      <w:pPr>
        <w:pStyle w:val="Heading2"/>
      </w:pPr>
      <w:bookmarkStart w:id="73" w:name="_Toc499624724"/>
      <w:r>
        <w:t xml:space="preserve">Who pays the </w:t>
      </w:r>
      <w:r w:rsidR="002A4C2F">
        <w:t>Fire Services L</w:t>
      </w:r>
      <w:r>
        <w:t>evy?</w:t>
      </w:r>
      <w:bookmarkEnd w:id="73"/>
    </w:p>
    <w:p w:rsidR="007E75D1" w:rsidRDefault="007E75D1" w:rsidP="004D0908">
      <w:pPr>
        <w:jc w:val="both"/>
        <w:rPr>
          <w:lang w:val="en-US"/>
        </w:rPr>
      </w:pPr>
      <w:r>
        <w:rPr>
          <w:lang w:val="en-US"/>
        </w:rPr>
        <w:t xml:space="preserve">Leviable properties include all rateable properties and a majority of current non-rateable properties.  Exempt properties include properties owned by the Victorian Government as part of its core business, Commonwealth land as well as some infrastructure, including </w:t>
      </w:r>
      <w:r w:rsidR="0019151A">
        <w:rPr>
          <w:lang w:val="en-US"/>
        </w:rPr>
        <w:t>Council</w:t>
      </w:r>
      <w:r>
        <w:rPr>
          <w:lang w:val="en-US"/>
        </w:rPr>
        <w:t xml:space="preserve"> roads and bridges.  Non-core government organisations, such as water corporations, will be required to pay the levy on their property.</w:t>
      </w:r>
    </w:p>
    <w:p w:rsidR="007E75D1" w:rsidRDefault="007E75D1" w:rsidP="004D0908">
      <w:pPr>
        <w:jc w:val="both"/>
        <w:rPr>
          <w:lang w:val="en-US"/>
        </w:rPr>
      </w:pPr>
    </w:p>
    <w:p w:rsidR="007E75D1" w:rsidRDefault="0019151A" w:rsidP="004D0908">
      <w:pPr>
        <w:jc w:val="both"/>
        <w:rPr>
          <w:lang w:val="en-US"/>
        </w:rPr>
      </w:pPr>
      <w:r>
        <w:rPr>
          <w:lang w:val="en-US"/>
        </w:rPr>
        <w:t>Council</w:t>
      </w:r>
      <w:r w:rsidR="007E75D1">
        <w:rPr>
          <w:lang w:val="en-US"/>
        </w:rPr>
        <w:t xml:space="preserve"> property is Leviable, although the FSPL Act provides for some </w:t>
      </w:r>
      <w:r>
        <w:rPr>
          <w:lang w:val="en-US"/>
        </w:rPr>
        <w:t>Council</w:t>
      </w:r>
      <w:r w:rsidR="007E75D1">
        <w:rPr>
          <w:lang w:val="en-US"/>
        </w:rPr>
        <w:t>-owned public recreational property (such as community parks and football ovals) to pay only the fixed charge component of the levy.  There are also exemptions for some of the sector’s infrastructure such as roads and bridges.</w:t>
      </w:r>
    </w:p>
    <w:p w:rsidR="007E75D1" w:rsidRDefault="007E75D1" w:rsidP="004D0908">
      <w:pPr>
        <w:jc w:val="both"/>
        <w:rPr>
          <w:lang w:val="en-US"/>
        </w:rPr>
      </w:pPr>
    </w:p>
    <w:p w:rsidR="007E75D1" w:rsidRDefault="007E75D1" w:rsidP="004D0908">
      <w:pPr>
        <w:jc w:val="both"/>
        <w:rPr>
          <w:lang w:val="en-US"/>
        </w:rPr>
      </w:pPr>
      <w:r>
        <w:rPr>
          <w:lang w:val="en-US"/>
        </w:rPr>
        <w:t xml:space="preserve">The new levy effectively attempts to ensure any person or organisation that would have contributed to the FSL through insurance premiums would continue to pay under the new model.  It also aims to improve the fairness of contributions by capturing those who previously didn’t contribute funding to our fires services through a failure to insure their property.  The CFA and MFB will continue to be funded </w:t>
      </w:r>
      <w:r w:rsidR="00022430">
        <w:rPr>
          <w:lang w:val="en-US"/>
        </w:rPr>
        <w:t xml:space="preserve">separately under the new FSPL. </w:t>
      </w:r>
    </w:p>
    <w:p w:rsidR="007E75D1" w:rsidRDefault="007E75D1" w:rsidP="007E75D1">
      <w:pPr>
        <w:pStyle w:val="Heading2"/>
      </w:pPr>
      <w:bookmarkStart w:id="74" w:name="_Toc499624725"/>
      <w:r>
        <w:t>How does the payment work?</w:t>
      </w:r>
      <w:bookmarkEnd w:id="74"/>
    </w:p>
    <w:p w:rsidR="001C5E6E" w:rsidRDefault="007E75D1" w:rsidP="004D0908">
      <w:pPr>
        <w:jc w:val="both"/>
        <w:rPr>
          <w:lang w:val="en-US"/>
        </w:rPr>
      </w:pPr>
      <w:r>
        <w:rPr>
          <w:lang w:val="en-US"/>
        </w:rPr>
        <w:t>The Act provides for a levy based on the capital improved value (CIV) of all properties.  The Act also specifies that a fixed fee is payable for residential properties (</w:t>
      </w:r>
      <w:r w:rsidR="00A659FD">
        <w:rPr>
          <w:lang w:val="en-US"/>
        </w:rPr>
        <w:t>$</w:t>
      </w:r>
      <w:r>
        <w:rPr>
          <w:lang w:val="en-US"/>
        </w:rPr>
        <w:t>107</w:t>
      </w:r>
      <w:r w:rsidR="00A659FD">
        <w:rPr>
          <w:lang w:val="en-US"/>
        </w:rPr>
        <w:t>) and all other property types ($216), indexed annually.</w:t>
      </w:r>
    </w:p>
    <w:p w:rsidR="00A659FD" w:rsidRDefault="00A659FD" w:rsidP="004D0908">
      <w:pPr>
        <w:jc w:val="both"/>
        <w:rPr>
          <w:lang w:val="en-US"/>
        </w:rPr>
      </w:pPr>
    </w:p>
    <w:p w:rsidR="00A659FD" w:rsidRDefault="00A659FD" w:rsidP="004D0908">
      <w:pPr>
        <w:jc w:val="both"/>
        <w:rPr>
          <w:lang w:val="en-US"/>
        </w:rPr>
      </w:pPr>
      <w:r>
        <w:rPr>
          <w:lang w:val="en-US"/>
        </w:rPr>
        <w:t>In addition to the fixed charge, variable charges will apply to properties.  Each Leviable property will be categorised for the purpose of the FSPL based on its Australian Valuation Property Classification Code (AVPCC), which is a formal classification allocated by qualified Valuers.</w:t>
      </w:r>
    </w:p>
    <w:p w:rsidR="00A659FD" w:rsidRDefault="00A659FD" w:rsidP="004D0908">
      <w:pPr>
        <w:jc w:val="both"/>
        <w:rPr>
          <w:lang w:val="en-US"/>
        </w:rPr>
      </w:pPr>
    </w:p>
    <w:p w:rsidR="00A659FD" w:rsidRDefault="00A659FD" w:rsidP="004D0908">
      <w:pPr>
        <w:jc w:val="both"/>
        <w:rPr>
          <w:lang w:val="en-US"/>
        </w:rPr>
      </w:pPr>
      <w:r>
        <w:rPr>
          <w:lang w:val="en-US"/>
        </w:rPr>
        <w:t>The property classifications allowable under the Act are:  residential (including vacant residential land), commercial, industrial, primary production, public benefit, and vacan</w:t>
      </w:r>
      <w:r w:rsidR="00022430">
        <w:rPr>
          <w:lang w:val="en-US"/>
        </w:rPr>
        <w:t>t (excluding residential land).</w:t>
      </w:r>
    </w:p>
    <w:p w:rsidR="00022430" w:rsidRPr="00022430" w:rsidRDefault="00A659FD" w:rsidP="00022430">
      <w:pPr>
        <w:pStyle w:val="Heading2"/>
        <w:pBdr>
          <w:top w:val="double" w:sz="4" w:space="1" w:color="auto"/>
          <w:left w:val="double" w:sz="4" w:space="4" w:color="auto"/>
          <w:bottom w:val="double" w:sz="4" w:space="1" w:color="auto"/>
          <w:right w:val="double" w:sz="4" w:space="4" w:color="auto"/>
        </w:pBdr>
        <w:shd w:val="clear" w:color="auto" w:fill="95B3D7" w:themeFill="accent1" w:themeFillTint="99"/>
      </w:pPr>
      <w:bookmarkStart w:id="75" w:name="_Toc499624726"/>
      <w:r>
        <w:t>Strategy Recommendations</w:t>
      </w:r>
      <w:bookmarkEnd w:id="75"/>
    </w:p>
    <w:p w:rsidR="00B5320B" w:rsidRDefault="002A4C2F" w:rsidP="00A659FD">
      <w:pPr>
        <w:pBdr>
          <w:top w:val="double" w:sz="4" w:space="1" w:color="auto"/>
          <w:left w:val="double" w:sz="4" w:space="4" w:color="auto"/>
          <w:bottom w:val="double" w:sz="4" w:space="1" w:color="auto"/>
          <w:right w:val="double" w:sz="4" w:space="4" w:color="auto"/>
        </w:pBdr>
        <w:shd w:val="clear" w:color="auto" w:fill="95B3D7" w:themeFill="accent1" w:themeFillTint="99"/>
        <w:rPr>
          <w:lang w:val="en-US"/>
        </w:rPr>
      </w:pPr>
      <w:r>
        <w:rPr>
          <w:lang w:val="en-US"/>
        </w:rPr>
        <w:t>That</w:t>
      </w:r>
    </w:p>
    <w:p w:rsidR="00C836E3" w:rsidRDefault="00A659FD" w:rsidP="004D0908">
      <w:pPr>
        <w:pBdr>
          <w:top w:val="double" w:sz="4" w:space="1" w:color="auto"/>
          <w:left w:val="double" w:sz="4" w:space="4" w:color="auto"/>
          <w:bottom w:val="double" w:sz="4" w:space="1" w:color="auto"/>
          <w:right w:val="double" w:sz="4" w:space="4" w:color="auto"/>
        </w:pBdr>
        <w:shd w:val="clear" w:color="auto" w:fill="95B3D7" w:themeFill="accent1" w:themeFillTint="99"/>
        <w:jc w:val="both"/>
        <w:rPr>
          <w:lang w:val="en-US"/>
        </w:rPr>
      </w:pPr>
      <w:r>
        <w:rPr>
          <w:lang w:val="en-US"/>
        </w:rPr>
        <w:t xml:space="preserve">1. State Government taxes, are best collected by the State Government using its own available </w:t>
      </w:r>
      <w:r w:rsidR="00C836E3">
        <w:rPr>
          <w:lang w:val="en-US"/>
        </w:rPr>
        <w:t xml:space="preserve">    </w:t>
      </w:r>
    </w:p>
    <w:p w:rsidR="00A659FD" w:rsidRDefault="00C836E3" w:rsidP="004D0908">
      <w:pPr>
        <w:pBdr>
          <w:top w:val="double" w:sz="4" w:space="1" w:color="auto"/>
          <w:left w:val="double" w:sz="4" w:space="4" w:color="auto"/>
          <w:bottom w:val="double" w:sz="4" w:space="1" w:color="auto"/>
          <w:right w:val="double" w:sz="4" w:space="4" w:color="auto"/>
        </w:pBdr>
        <w:shd w:val="clear" w:color="auto" w:fill="95B3D7" w:themeFill="accent1" w:themeFillTint="99"/>
        <w:jc w:val="both"/>
        <w:rPr>
          <w:lang w:val="en-US"/>
        </w:rPr>
      </w:pPr>
      <w:r>
        <w:rPr>
          <w:lang w:val="en-US"/>
        </w:rPr>
        <w:t xml:space="preserve">    </w:t>
      </w:r>
      <w:r w:rsidR="00A659FD">
        <w:rPr>
          <w:lang w:val="en-US"/>
        </w:rPr>
        <w:t>resources such as the State Revenue Office.</w:t>
      </w:r>
    </w:p>
    <w:p w:rsidR="00C836E3" w:rsidRDefault="00A659FD" w:rsidP="004D0908">
      <w:pPr>
        <w:pBdr>
          <w:top w:val="double" w:sz="4" w:space="1" w:color="auto"/>
          <w:left w:val="double" w:sz="4" w:space="4" w:color="auto"/>
          <w:bottom w:val="double" w:sz="4" w:space="1" w:color="auto"/>
          <w:right w:val="double" w:sz="4" w:space="4" w:color="auto"/>
        </w:pBdr>
        <w:shd w:val="clear" w:color="auto" w:fill="95B3D7" w:themeFill="accent1" w:themeFillTint="99"/>
        <w:jc w:val="both"/>
        <w:rPr>
          <w:lang w:val="en-US"/>
        </w:rPr>
      </w:pPr>
      <w:r>
        <w:rPr>
          <w:lang w:val="en-US"/>
        </w:rPr>
        <w:t xml:space="preserve">2. </w:t>
      </w:r>
      <w:r w:rsidR="002A4C2F">
        <w:rPr>
          <w:lang w:val="en-US"/>
        </w:rPr>
        <w:t>I</w:t>
      </w:r>
      <w:r>
        <w:rPr>
          <w:lang w:val="en-US"/>
        </w:rPr>
        <w:t xml:space="preserve">n the event that </w:t>
      </w:r>
      <w:r w:rsidR="0019151A">
        <w:rPr>
          <w:lang w:val="en-US"/>
        </w:rPr>
        <w:t>Council</w:t>
      </w:r>
      <w:r>
        <w:rPr>
          <w:lang w:val="en-US"/>
        </w:rPr>
        <w:t xml:space="preserve"> is required to collect such State Government taxes, that these taxes be </w:t>
      </w:r>
      <w:r w:rsidR="00C836E3">
        <w:rPr>
          <w:lang w:val="en-US"/>
        </w:rPr>
        <w:t xml:space="preserve">   </w:t>
      </w:r>
    </w:p>
    <w:p w:rsidR="00A659FD" w:rsidRDefault="00C836E3" w:rsidP="004D0908">
      <w:pPr>
        <w:pBdr>
          <w:top w:val="double" w:sz="4" w:space="1" w:color="auto"/>
          <w:left w:val="double" w:sz="4" w:space="4" w:color="auto"/>
          <w:bottom w:val="double" w:sz="4" w:space="1" w:color="auto"/>
          <w:right w:val="double" w:sz="4" w:space="4" w:color="auto"/>
        </w:pBdr>
        <w:shd w:val="clear" w:color="auto" w:fill="95B3D7" w:themeFill="accent1" w:themeFillTint="99"/>
        <w:jc w:val="both"/>
        <w:rPr>
          <w:lang w:val="en-US"/>
        </w:rPr>
      </w:pPr>
      <w:r>
        <w:rPr>
          <w:lang w:val="en-US"/>
        </w:rPr>
        <w:t xml:space="preserve">    </w:t>
      </w:r>
      <w:r w:rsidR="00A659FD">
        <w:rPr>
          <w:lang w:val="en-US"/>
        </w:rPr>
        <w:t>clearly identified as State charges.</w:t>
      </w:r>
    </w:p>
    <w:p w:rsidR="00A659FD" w:rsidRDefault="00A659FD" w:rsidP="004D0908">
      <w:pPr>
        <w:pBdr>
          <w:top w:val="double" w:sz="4" w:space="1" w:color="auto"/>
          <w:left w:val="double" w:sz="4" w:space="4" w:color="auto"/>
          <w:bottom w:val="double" w:sz="4" w:space="1" w:color="auto"/>
          <w:right w:val="double" w:sz="4" w:space="4" w:color="auto"/>
        </w:pBdr>
        <w:shd w:val="clear" w:color="auto" w:fill="95B3D7" w:themeFill="accent1" w:themeFillTint="99"/>
        <w:jc w:val="both"/>
        <w:rPr>
          <w:lang w:val="en-US"/>
        </w:rPr>
      </w:pPr>
      <w:r>
        <w:rPr>
          <w:lang w:val="en-US"/>
        </w:rPr>
        <w:t>3. State Government fully reimburses Local Government for the cost of collecting State taxes.</w:t>
      </w:r>
      <w:r>
        <w:rPr>
          <w:lang w:val="en-US"/>
        </w:rPr>
        <w:tab/>
      </w:r>
    </w:p>
    <w:p w:rsidR="002D066A" w:rsidRDefault="002D066A" w:rsidP="002D066A">
      <w:pPr>
        <w:pStyle w:val="NoSpacing"/>
      </w:pPr>
    </w:p>
    <w:p w:rsidR="003D0405" w:rsidRDefault="003D0405">
      <w:pPr>
        <w:rPr>
          <w:rFonts w:eastAsiaTheme="minorHAnsi" w:cstheme="minorBidi"/>
        </w:rPr>
      </w:pPr>
      <w:r>
        <w:br w:type="page"/>
      </w:r>
    </w:p>
    <w:p w:rsidR="00E02306" w:rsidRPr="00E02306" w:rsidRDefault="00CE0EDC" w:rsidP="00F36D0F">
      <w:pPr>
        <w:pStyle w:val="Heading2"/>
        <w:rPr>
          <w:color w:val="31849B" w:themeColor="accent5" w:themeShade="BF"/>
        </w:rPr>
      </w:pPr>
      <w:bookmarkStart w:id="76" w:name="_Toc499624727"/>
      <w:r>
        <w:t xml:space="preserve">A vision for </w:t>
      </w:r>
      <w:r w:rsidR="00F96372" w:rsidRPr="001D5EAE">
        <w:t>Equitable</w:t>
      </w:r>
      <w:r w:rsidR="00E02306" w:rsidRPr="001D5EAE">
        <w:t xml:space="preserve">, </w:t>
      </w:r>
      <w:r w:rsidR="00B47835" w:rsidRPr="001D5EAE">
        <w:t>Sustainable</w:t>
      </w:r>
      <w:r w:rsidR="00C968C1" w:rsidRPr="001D5EAE">
        <w:t>,</w:t>
      </w:r>
      <w:r w:rsidR="00F36D0F" w:rsidRPr="001D5EAE">
        <w:t xml:space="preserve"> and</w:t>
      </w:r>
      <w:r w:rsidR="00E367E4" w:rsidRPr="001D5EAE">
        <w:t xml:space="preserve"> </w:t>
      </w:r>
      <w:r w:rsidR="00B47835" w:rsidRPr="001D5EAE">
        <w:t xml:space="preserve">Transparent </w:t>
      </w:r>
      <w:r w:rsidR="00E367E4" w:rsidRPr="001D5EAE">
        <w:t>rating</w:t>
      </w:r>
      <w:bookmarkEnd w:id="76"/>
      <w:r w:rsidR="00E02306">
        <w:rPr>
          <w:color w:val="31849B" w:themeColor="accent5" w:themeShade="BF"/>
        </w:rPr>
        <w:t xml:space="preserve"> </w:t>
      </w:r>
    </w:p>
    <w:p w:rsidR="00BA4F6D" w:rsidRDefault="00BA4F6D" w:rsidP="00CE0EDC">
      <w:pPr>
        <w:rPr>
          <w:lang w:val="en-US"/>
        </w:rPr>
      </w:pPr>
    </w:p>
    <w:p w:rsidR="00BA4F6D" w:rsidRDefault="00BA4F6D" w:rsidP="00CE0EDC">
      <w:pPr>
        <w:rPr>
          <w:i/>
          <w:color w:val="FF0000"/>
          <w:lang w:val="en-US"/>
        </w:rPr>
      </w:pPr>
    </w:p>
    <w:p w:rsidR="00C962A0" w:rsidRPr="001D5EAE" w:rsidRDefault="00C962A0" w:rsidP="004D0908">
      <w:pPr>
        <w:jc w:val="both"/>
        <w:rPr>
          <w:rFonts w:cs="Arial"/>
          <w:bCs/>
          <w:iCs/>
          <w:lang w:eastAsia="en-AU"/>
        </w:rPr>
      </w:pPr>
      <w:r w:rsidRPr="001D5EAE">
        <w:rPr>
          <w:lang w:val="en-US"/>
        </w:rPr>
        <w:t xml:space="preserve">Maroondah City </w:t>
      </w:r>
      <w:r w:rsidR="0019151A">
        <w:rPr>
          <w:lang w:val="en-US"/>
        </w:rPr>
        <w:t>Council</w:t>
      </w:r>
      <w:r w:rsidRPr="001D5EAE">
        <w:rPr>
          <w:lang w:val="en-US"/>
        </w:rPr>
        <w:t xml:space="preserve"> will </w:t>
      </w:r>
      <w:r w:rsidR="002A4C2F">
        <w:rPr>
          <w:lang w:val="en-US"/>
        </w:rPr>
        <w:t>continue to ensure</w:t>
      </w:r>
      <w:r w:rsidR="00F96372" w:rsidRPr="001D5EAE">
        <w:rPr>
          <w:lang w:val="en-US"/>
        </w:rPr>
        <w:t xml:space="preserve"> the structure of </w:t>
      </w:r>
      <w:r w:rsidR="002A4C2F">
        <w:rPr>
          <w:lang w:val="en-US"/>
        </w:rPr>
        <w:t>its</w:t>
      </w:r>
      <w:r w:rsidR="00817685" w:rsidRPr="001D5EAE">
        <w:rPr>
          <w:lang w:val="en-US"/>
        </w:rPr>
        <w:t xml:space="preserve"> rating system </w:t>
      </w:r>
      <w:r w:rsidR="00284A96" w:rsidRPr="001D5EAE">
        <w:rPr>
          <w:lang w:val="en-US"/>
        </w:rPr>
        <w:t xml:space="preserve">is </w:t>
      </w:r>
      <w:r w:rsidR="00F96372" w:rsidRPr="001D5EAE">
        <w:rPr>
          <w:lang w:val="en-US"/>
        </w:rPr>
        <w:t>equitable</w:t>
      </w:r>
      <w:r w:rsidR="00284A96" w:rsidRPr="001D5EAE">
        <w:rPr>
          <w:lang w:val="en-US"/>
        </w:rPr>
        <w:t xml:space="preserve">, </w:t>
      </w:r>
      <w:r w:rsidR="00B47835" w:rsidRPr="001D5EAE">
        <w:rPr>
          <w:lang w:val="en-US"/>
        </w:rPr>
        <w:t xml:space="preserve">sustainable, and transparent </w:t>
      </w:r>
      <w:r w:rsidR="00AD4D24" w:rsidRPr="001D5EAE">
        <w:rPr>
          <w:lang w:val="en-US"/>
        </w:rPr>
        <w:t xml:space="preserve">for the entire community. </w:t>
      </w:r>
      <w:r w:rsidRPr="001D5EAE">
        <w:rPr>
          <w:lang w:val="en-US"/>
        </w:rPr>
        <w:t xml:space="preserve"> Staying outwardly focused </w:t>
      </w:r>
      <w:r w:rsidR="00AD4D24" w:rsidRPr="001D5EAE">
        <w:rPr>
          <w:lang w:val="en-US"/>
        </w:rPr>
        <w:t xml:space="preserve">we </w:t>
      </w:r>
      <w:r w:rsidRPr="001D5EAE">
        <w:rPr>
          <w:lang w:val="en-US"/>
        </w:rPr>
        <w:t xml:space="preserve">will ensure </w:t>
      </w:r>
      <w:r w:rsidRPr="001D5EAE">
        <w:rPr>
          <w:rFonts w:cs="Arial"/>
          <w:bCs/>
          <w:iCs/>
          <w:lang w:eastAsia="en-AU"/>
        </w:rPr>
        <w:t>a vibrant and diverse city with a healthy and active community, living in green leafy neighbourhoods, which are connected to thriving and accessible activity centres contributing to a prosperous economy within a safe, inclusive, and sustainable environment.</w:t>
      </w:r>
    </w:p>
    <w:p w:rsidR="00C962A0" w:rsidRDefault="00C962A0" w:rsidP="00C962A0">
      <w:pPr>
        <w:rPr>
          <w:rFonts w:cs="Arial"/>
          <w:bCs/>
          <w:iCs/>
          <w:lang w:eastAsia="en-AU"/>
        </w:rPr>
      </w:pPr>
    </w:p>
    <w:p w:rsidR="00CE0EDC" w:rsidRDefault="00CE0EDC" w:rsidP="00C962A0">
      <w:pPr>
        <w:pStyle w:val="Heading2"/>
      </w:pPr>
      <w:bookmarkStart w:id="77" w:name="_Toc499624728"/>
      <w:r>
        <w:t xml:space="preserve">Strategic </w:t>
      </w:r>
      <w:r w:rsidRPr="00C962A0">
        <w:t>Framework</w:t>
      </w:r>
      <w:bookmarkEnd w:id="77"/>
    </w:p>
    <w:p w:rsidR="00CE0EDC" w:rsidRDefault="00CE0EDC" w:rsidP="00CE0EDC">
      <w:pPr>
        <w:rPr>
          <w:lang w:val="en-US"/>
        </w:rPr>
      </w:pPr>
    </w:p>
    <w:p w:rsidR="00A56885" w:rsidRPr="001D5EAE" w:rsidRDefault="00A56885" w:rsidP="004D0908">
      <w:pPr>
        <w:jc w:val="both"/>
        <w:rPr>
          <w:lang w:val="en-US"/>
        </w:rPr>
      </w:pPr>
      <w:r w:rsidRPr="001D5EAE">
        <w:rPr>
          <w:lang w:val="en-US"/>
        </w:rPr>
        <w:t xml:space="preserve">The rating strategy is built around five equity, sustainability, and transparency parameters.  These parameters commit </w:t>
      </w:r>
      <w:r w:rsidR="0019151A">
        <w:rPr>
          <w:lang w:val="en-US"/>
        </w:rPr>
        <w:t>Council</w:t>
      </w:r>
      <w:r w:rsidRPr="001D5EAE">
        <w:rPr>
          <w:lang w:val="en-US"/>
        </w:rPr>
        <w:t xml:space="preserve"> to:</w:t>
      </w:r>
    </w:p>
    <w:p w:rsidR="00A56885" w:rsidRPr="001D5EAE" w:rsidRDefault="00A56885" w:rsidP="004D0908">
      <w:pPr>
        <w:jc w:val="both"/>
        <w:rPr>
          <w:lang w:val="en-US"/>
        </w:rPr>
      </w:pPr>
    </w:p>
    <w:p w:rsidR="00A56885" w:rsidRPr="001D5EAE" w:rsidRDefault="00A56885" w:rsidP="00F96372">
      <w:pPr>
        <w:numPr>
          <w:ilvl w:val="0"/>
          <w:numId w:val="10"/>
        </w:numPr>
        <w:tabs>
          <w:tab w:val="left" w:pos="993"/>
        </w:tabs>
        <w:overflowPunct w:val="0"/>
        <w:autoSpaceDE w:val="0"/>
        <w:autoSpaceDN w:val="0"/>
        <w:adjustRightInd w:val="0"/>
        <w:spacing w:after="200" w:line="276" w:lineRule="auto"/>
        <w:contextualSpacing/>
        <w:jc w:val="both"/>
        <w:textAlignment w:val="baseline"/>
        <w:rPr>
          <w:rFonts w:eastAsia="Times New Roman"/>
        </w:rPr>
      </w:pPr>
      <w:r w:rsidRPr="001D5EAE">
        <w:rPr>
          <w:rFonts w:eastAsia="Times New Roman" w:cs="Arial"/>
          <w:lang w:eastAsia="en-AU"/>
        </w:rPr>
        <w:t>adherence to directions from The Minister for Local Government that rate capping will continue in future years to come;</w:t>
      </w:r>
    </w:p>
    <w:p w:rsidR="00A56885" w:rsidRPr="001D5EAE" w:rsidRDefault="00A56885" w:rsidP="00F96372">
      <w:pPr>
        <w:numPr>
          <w:ilvl w:val="0"/>
          <w:numId w:val="10"/>
        </w:numPr>
        <w:tabs>
          <w:tab w:val="left" w:pos="0"/>
          <w:tab w:val="left" w:pos="993"/>
        </w:tabs>
        <w:overflowPunct w:val="0"/>
        <w:autoSpaceDE w:val="0"/>
        <w:autoSpaceDN w:val="0"/>
        <w:adjustRightInd w:val="0"/>
        <w:spacing w:after="200" w:line="276" w:lineRule="auto"/>
        <w:contextualSpacing/>
        <w:jc w:val="both"/>
        <w:textAlignment w:val="baseline"/>
        <w:rPr>
          <w:rFonts w:eastAsia="Times New Roman" w:cs="Arial"/>
        </w:rPr>
      </w:pPr>
      <w:r w:rsidRPr="001D5EAE">
        <w:rPr>
          <w:rFonts w:eastAsia="Times New Roman"/>
        </w:rPr>
        <w:t xml:space="preserve">progressively increase funding for infrastructure renewal to approximately equate the wear, tear and obsolescence on existing assets </w:t>
      </w:r>
      <w:r w:rsidRPr="001D5EAE">
        <w:rPr>
          <w:rFonts w:eastAsia="Times New Roman" w:cs="Arial"/>
        </w:rPr>
        <w:t>ensuring longevity and the provision of community accepted levels of service for its entire asset portfolio</w:t>
      </w:r>
      <w:r w:rsidRPr="001D5EAE">
        <w:rPr>
          <w:rFonts w:eastAsia="Times New Roman"/>
        </w:rPr>
        <w:t xml:space="preserve">; </w:t>
      </w:r>
    </w:p>
    <w:p w:rsidR="00A56885" w:rsidRPr="001D5EAE" w:rsidRDefault="00A56885" w:rsidP="00F96372">
      <w:pPr>
        <w:numPr>
          <w:ilvl w:val="0"/>
          <w:numId w:val="10"/>
        </w:numPr>
        <w:tabs>
          <w:tab w:val="left" w:pos="0"/>
          <w:tab w:val="left" w:pos="993"/>
        </w:tabs>
        <w:overflowPunct w:val="0"/>
        <w:autoSpaceDE w:val="0"/>
        <w:autoSpaceDN w:val="0"/>
        <w:adjustRightInd w:val="0"/>
        <w:spacing w:after="200" w:line="276" w:lineRule="auto"/>
        <w:contextualSpacing/>
        <w:jc w:val="both"/>
        <w:textAlignment w:val="baseline"/>
        <w:rPr>
          <w:rFonts w:eastAsia="Times New Roman" w:cs="Arial"/>
        </w:rPr>
      </w:pPr>
      <w:r w:rsidRPr="001D5EAE">
        <w:rPr>
          <w:rFonts w:eastAsia="Times New Roman"/>
        </w:rPr>
        <w:t xml:space="preserve">continue to maintain equity for all rate payers within Maroondah’s rating system; </w:t>
      </w:r>
    </w:p>
    <w:p w:rsidR="00A56885" w:rsidRPr="001D5EAE" w:rsidRDefault="00A56885" w:rsidP="00F96372">
      <w:pPr>
        <w:numPr>
          <w:ilvl w:val="0"/>
          <w:numId w:val="10"/>
        </w:numPr>
        <w:tabs>
          <w:tab w:val="left" w:pos="0"/>
          <w:tab w:val="left" w:pos="993"/>
        </w:tabs>
        <w:overflowPunct w:val="0"/>
        <w:autoSpaceDE w:val="0"/>
        <w:autoSpaceDN w:val="0"/>
        <w:adjustRightInd w:val="0"/>
        <w:spacing w:after="200" w:line="276" w:lineRule="auto"/>
        <w:contextualSpacing/>
        <w:jc w:val="both"/>
        <w:textAlignment w:val="baseline"/>
        <w:rPr>
          <w:rFonts w:eastAsia="Times New Roman" w:cs="Arial"/>
        </w:rPr>
      </w:pPr>
      <w:r w:rsidRPr="001D5EAE">
        <w:rPr>
          <w:rFonts w:eastAsia="Times New Roman"/>
        </w:rPr>
        <w:t>deliver maximum benefit from the economies and pro</w:t>
      </w:r>
      <w:r w:rsidRPr="001D5EAE">
        <w:rPr>
          <w:rFonts w:eastAsia="Times New Roman" w:cs="Arial"/>
        </w:rPr>
        <w:t xml:space="preserve">ductivity generated from continually improving organisational performance; </w:t>
      </w:r>
    </w:p>
    <w:p w:rsidR="00A56885" w:rsidRPr="001D5EAE" w:rsidRDefault="00A56885" w:rsidP="00F96372">
      <w:pPr>
        <w:numPr>
          <w:ilvl w:val="0"/>
          <w:numId w:val="10"/>
        </w:numPr>
        <w:tabs>
          <w:tab w:val="left" w:pos="0"/>
          <w:tab w:val="left" w:pos="993"/>
        </w:tabs>
        <w:overflowPunct w:val="0"/>
        <w:autoSpaceDE w:val="0"/>
        <w:autoSpaceDN w:val="0"/>
        <w:adjustRightInd w:val="0"/>
        <w:spacing w:after="200" w:line="276" w:lineRule="auto"/>
        <w:contextualSpacing/>
        <w:jc w:val="both"/>
        <w:textAlignment w:val="baseline"/>
        <w:rPr>
          <w:rFonts w:eastAsia="Times New Roman" w:cs="Arial"/>
        </w:rPr>
      </w:pPr>
      <w:r w:rsidRPr="001D5EAE">
        <w:rPr>
          <w:rFonts w:eastAsia="Times New Roman" w:cs="Arial"/>
        </w:rPr>
        <w:t>provide transparency in the rating process; and</w:t>
      </w:r>
    </w:p>
    <w:p w:rsidR="00A56885" w:rsidRPr="001D5EAE" w:rsidRDefault="00A56885" w:rsidP="004D0908">
      <w:pPr>
        <w:numPr>
          <w:ilvl w:val="12"/>
          <w:numId w:val="0"/>
        </w:numPr>
        <w:jc w:val="both"/>
        <w:rPr>
          <w:rFonts w:eastAsia="Times New Roman" w:cs="Arial"/>
        </w:rPr>
      </w:pPr>
    </w:p>
    <w:p w:rsidR="00A56885" w:rsidRPr="001D5EAE" w:rsidRDefault="0019151A" w:rsidP="004D0908">
      <w:pPr>
        <w:numPr>
          <w:ilvl w:val="12"/>
          <w:numId w:val="0"/>
        </w:numPr>
        <w:jc w:val="both"/>
        <w:rPr>
          <w:rFonts w:eastAsia="Times New Roman" w:cs="Arial"/>
          <w:lang w:eastAsia="en-AU"/>
        </w:rPr>
      </w:pPr>
      <w:r>
        <w:rPr>
          <w:rFonts w:eastAsia="Times New Roman" w:cs="Arial"/>
          <w:lang w:eastAsia="en-AU"/>
        </w:rPr>
        <w:t>Council</w:t>
      </w:r>
      <w:r w:rsidR="00A56885" w:rsidRPr="001D5EAE">
        <w:rPr>
          <w:rFonts w:eastAsia="Times New Roman" w:cs="Arial"/>
          <w:lang w:eastAsia="en-AU"/>
        </w:rPr>
        <w:t xml:space="preserve"> has maintained the optimum possible rating structure within the context of these parameters</w:t>
      </w:r>
      <w:r w:rsidR="00E367E4" w:rsidRPr="001D5EAE">
        <w:rPr>
          <w:rFonts w:eastAsia="Times New Roman" w:cs="Arial"/>
          <w:lang w:eastAsia="en-AU"/>
        </w:rPr>
        <w:t>,</w:t>
      </w:r>
      <w:r w:rsidR="00A56885" w:rsidRPr="001D5EAE">
        <w:rPr>
          <w:rFonts w:eastAsia="Times New Roman" w:cs="Arial"/>
          <w:lang w:eastAsia="en-AU"/>
        </w:rPr>
        <w:t xml:space="preserve"> balancing services, programs and projects with the Community’s needs, aspirations, and expectations using the Capital Improved Value rating system.</w:t>
      </w:r>
    </w:p>
    <w:p w:rsidR="00A56885" w:rsidRPr="001D5EAE" w:rsidRDefault="00A56885" w:rsidP="004D0908">
      <w:pPr>
        <w:numPr>
          <w:ilvl w:val="12"/>
          <w:numId w:val="0"/>
        </w:numPr>
        <w:jc w:val="both"/>
        <w:rPr>
          <w:rFonts w:eastAsia="Times New Roman" w:cs="Arial"/>
          <w:lang w:eastAsia="en-AU"/>
        </w:rPr>
      </w:pPr>
    </w:p>
    <w:p w:rsidR="00A56885" w:rsidRPr="001D5EAE" w:rsidRDefault="00A56885" w:rsidP="004D0908">
      <w:pPr>
        <w:numPr>
          <w:ilvl w:val="12"/>
          <w:numId w:val="0"/>
        </w:numPr>
        <w:jc w:val="both"/>
        <w:rPr>
          <w:rFonts w:eastAsia="Times New Roman" w:cs="Arial"/>
          <w:lang w:eastAsia="en-AU"/>
        </w:rPr>
      </w:pPr>
      <w:r w:rsidRPr="001D5EAE">
        <w:rPr>
          <w:rFonts w:eastAsia="Times New Roman" w:cs="Arial"/>
          <w:lang w:eastAsia="en-AU"/>
        </w:rPr>
        <w:t xml:space="preserve">The rapid growth of the municipality has seen property valuations in </w:t>
      </w:r>
      <w:r w:rsidR="00E367E4" w:rsidRPr="001D5EAE">
        <w:rPr>
          <w:rFonts w:eastAsia="Times New Roman" w:cs="Arial"/>
          <w:lang w:eastAsia="en-AU"/>
        </w:rPr>
        <w:t xml:space="preserve">the </w:t>
      </w:r>
      <w:r w:rsidRPr="001D5EAE">
        <w:rPr>
          <w:rFonts w:eastAsia="Times New Roman" w:cs="Arial"/>
          <w:lang w:eastAsia="en-AU"/>
        </w:rPr>
        <w:t>residential sector increase dramatically in the past 4 years</w:t>
      </w:r>
      <w:r w:rsidR="00F36D0F" w:rsidRPr="001D5EAE">
        <w:rPr>
          <w:rFonts w:eastAsia="Times New Roman" w:cs="Arial"/>
          <w:lang w:eastAsia="en-AU"/>
        </w:rPr>
        <w:t xml:space="preserve">, with the Commercial and Industrial sector </w:t>
      </w:r>
      <w:r w:rsidR="002A4C2F">
        <w:rPr>
          <w:rFonts w:eastAsia="Times New Roman" w:cs="Arial"/>
          <w:lang w:eastAsia="en-AU"/>
        </w:rPr>
        <w:t>not maintaining their contribution</w:t>
      </w:r>
      <w:r w:rsidR="00F36D0F" w:rsidRPr="001D5EAE">
        <w:rPr>
          <w:rFonts w:eastAsia="Times New Roman" w:cs="Arial"/>
          <w:lang w:eastAsia="en-AU"/>
        </w:rPr>
        <w:t>, resulting in an uneven</w:t>
      </w:r>
      <w:r w:rsidR="001D1CAB">
        <w:rPr>
          <w:rFonts w:eastAsia="Times New Roman" w:cs="Arial"/>
          <w:lang w:eastAsia="en-AU"/>
        </w:rPr>
        <w:t>,</w:t>
      </w:r>
      <w:r w:rsidR="001D1CAB" w:rsidRPr="001D1CAB">
        <w:rPr>
          <w:rFonts w:eastAsia="Times New Roman" w:cs="Arial"/>
          <w:lang w:eastAsia="en-AU"/>
        </w:rPr>
        <w:t xml:space="preserve"> </w:t>
      </w:r>
      <w:r w:rsidR="001D1CAB">
        <w:rPr>
          <w:rFonts w:eastAsia="Times New Roman" w:cs="Arial"/>
          <w:lang w:eastAsia="en-AU"/>
        </w:rPr>
        <w:t>less equitable</w:t>
      </w:r>
      <w:r w:rsidR="00F36D0F" w:rsidRPr="001D5EAE">
        <w:rPr>
          <w:rFonts w:eastAsia="Times New Roman" w:cs="Arial"/>
          <w:lang w:eastAsia="en-AU"/>
        </w:rPr>
        <w:t xml:space="preserve"> distribution</w:t>
      </w:r>
      <w:r w:rsidR="001D1CAB">
        <w:rPr>
          <w:rFonts w:eastAsia="Times New Roman" w:cs="Arial"/>
          <w:lang w:eastAsia="en-AU"/>
        </w:rPr>
        <w:t xml:space="preserve"> of the rating system</w:t>
      </w:r>
      <w:r w:rsidR="00F36D0F" w:rsidRPr="001D5EAE">
        <w:rPr>
          <w:rFonts w:eastAsia="Times New Roman" w:cs="Arial"/>
          <w:lang w:eastAsia="en-AU"/>
        </w:rPr>
        <w:t>.</w:t>
      </w:r>
    </w:p>
    <w:p w:rsidR="00F36D0F" w:rsidRPr="001D5EAE" w:rsidRDefault="00F36D0F" w:rsidP="004D0908">
      <w:pPr>
        <w:numPr>
          <w:ilvl w:val="12"/>
          <w:numId w:val="0"/>
        </w:numPr>
        <w:jc w:val="both"/>
        <w:rPr>
          <w:rFonts w:eastAsia="Times New Roman" w:cs="Arial"/>
          <w:lang w:eastAsia="en-AU"/>
        </w:rPr>
      </w:pPr>
    </w:p>
    <w:p w:rsidR="00F36D0F" w:rsidRPr="001D5EAE" w:rsidRDefault="00F36D0F" w:rsidP="004D0908">
      <w:pPr>
        <w:numPr>
          <w:ilvl w:val="12"/>
          <w:numId w:val="0"/>
        </w:numPr>
        <w:jc w:val="both"/>
        <w:rPr>
          <w:lang w:val="en-US"/>
        </w:rPr>
      </w:pPr>
      <w:r w:rsidRPr="001D5EAE">
        <w:rPr>
          <w:lang w:val="en-US"/>
        </w:rPr>
        <w:t xml:space="preserve">Current and future planned capital works programs along with the advocacy </w:t>
      </w:r>
      <w:r w:rsidR="00B47835" w:rsidRPr="001D5EAE">
        <w:rPr>
          <w:lang w:val="en-US"/>
        </w:rPr>
        <w:t xml:space="preserve">undertaken </w:t>
      </w:r>
      <w:r w:rsidRPr="001D5EAE">
        <w:rPr>
          <w:lang w:val="en-US"/>
        </w:rPr>
        <w:t>with State and Federal Government bodies</w:t>
      </w:r>
      <w:r w:rsidR="00E367E4" w:rsidRPr="001D5EAE">
        <w:rPr>
          <w:lang w:val="en-US"/>
        </w:rPr>
        <w:t>,</w:t>
      </w:r>
      <w:r w:rsidRPr="001D5EAE">
        <w:rPr>
          <w:lang w:val="en-US"/>
        </w:rPr>
        <w:t xml:space="preserve"> all aim to ensure the sustainability of the City of Maroondah as thriving community</w:t>
      </w:r>
      <w:r w:rsidR="00E367E4" w:rsidRPr="001D5EAE">
        <w:rPr>
          <w:lang w:val="en-US"/>
        </w:rPr>
        <w:t xml:space="preserve"> -</w:t>
      </w:r>
      <w:r w:rsidRPr="001D5EAE">
        <w:rPr>
          <w:lang w:val="en-US"/>
        </w:rPr>
        <w:t xml:space="preserve"> both to live and to work.</w:t>
      </w:r>
    </w:p>
    <w:p w:rsidR="001D1CAB" w:rsidRDefault="001D1CAB">
      <w:pPr>
        <w:rPr>
          <w:rFonts w:eastAsiaTheme="minorHAnsi" w:cs="Arial"/>
        </w:rPr>
      </w:pPr>
      <w:r>
        <w:rPr>
          <w:rFonts w:cs="Arial"/>
        </w:rPr>
        <w:br w:type="page"/>
      </w:r>
    </w:p>
    <w:p w:rsidR="00996516" w:rsidRPr="00996516" w:rsidRDefault="00D97CC8" w:rsidP="006122B0">
      <w:pPr>
        <w:pStyle w:val="NoSpacing"/>
        <w:rPr>
          <w:rFonts w:cs="Arial"/>
        </w:rPr>
      </w:pPr>
      <w:r>
        <w:rPr>
          <w:rFonts w:cs="Arial"/>
          <w:noProof/>
          <w:lang w:eastAsia="en-AU"/>
        </w:rPr>
        <mc:AlternateContent>
          <mc:Choice Requires="wps">
            <w:drawing>
              <wp:anchor distT="0" distB="0" distL="114300" distR="114300" simplePos="0" relativeHeight="251670528" behindDoc="0" locked="0" layoutInCell="1" allowOverlap="1">
                <wp:simplePos x="0" y="0"/>
                <wp:positionH relativeFrom="column">
                  <wp:posOffset>625475</wp:posOffset>
                </wp:positionH>
                <wp:positionV relativeFrom="paragraph">
                  <wp:posOffset>2819400</wp:posOffset>
                </wp:positionV>
                <wp:extent cx="5029835" cy="6019800"/>
                <wp:effectExtent l="0" t="0" r="254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835" cy="601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4F63" w:rsidRDefault="00B24F63" w:rsidP="00B57123">
                            <w:pPr>
                              <w:pStyle w:val="NoSpacing"/>
                            </w:pPr>
                            <w:r w:rsidRPr="00B57123">
                              <w:rPr>
                                <w:noProof/>
                                <w:lang w:eastAsia="en-AU"/>
                              </w:rPr>
                              <w:drawing>
                                <wp:inline distT="0" distB="0" distL="0" distR="0">
                                  <wp:extent cx="2089785" cy="1023393"/>
                                  <wp:effectExtent l="19050" t="0" r="5715" b="0"/>
                                  <wp:docPr id="6" name="Picture 4" descr="Maroondah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ondahCityCouncilLogo.bmp"/>
                                          <pic:cNvPicPr/>
                                        </pic:nvPicPr>
                                        <pic:blipFill>
                                          <a:blip r:embed="rId19" cstate="print"/>
                                          <a:stretch>
                                            <a:fillRect/>
                                          </a:stretch>
                                        </pic:blipFill>
                                        <pic:spPr>
                                          <a:xfrm>
                                            <a:off x="0" y="0"/>
                                            <a:ext cx="2089785" cy="1023393"/>
                                          </a:xfrm>
                                          <a:prstGeom prst="rect">
                                            <a:avLst/>
                                          </a:prstGeom>
                                        </pic:spPr>
                                      </pic:pic>
                                    </a:graphicData>
                                  </a:graphic>
                                </wp:inline>
                              </w:drawing>
                            </w:r>
                          </w:p>
                          <w:p w:rsidR="00B24F63" w:rsidRPr="00B57123" w:rsidRDefault="00B24F63" w:rsidP="00B57123">
                            <w:pPr>
                              <w:pStyle w:val="NoSpacing"/>
                              <w:rPr>
                                <w:rFonts w:cs="Arial"/>
                              </w:rPr>
                            </w:pPr>
                            <w:r w:rsidRPr="00B57123">
                              <w:rPr>
                                <w:rFonts w:cs="Arial"/>
                              </w:rPr>
                              <w:t xml:space="preserve">To contact </w:t>
                            </w:r>
                            <w:r>
                              <w:rPr>
                                <w:rFonts w:cs="Arial"/>
                              </w:rPr>
                              <w:t>Council</w:t>
                            </w:r>
                            <w:r w:rsidRPr="00B57123">
                              <w:rPr>
                                <w:rFonts w:cs="Arial"/>
                              </w:rPr>
                              <w:t xml:space="preserve"> telephone 1300 88 22 33 </w:t>
                            </w:r>
                          </w:p>
                          <w:p w:rsidR="00B24F63" w:rsidRPr="00B57123" w:rsidRDefault="00B24F63" w:rsidP="00B57123">
                            <w:pPr>
                              <w:pStyle w:val="NoSpacing"/>
                              <w:rPr>
                                <w:rFonts w:cs="Arial"/>
                              </w:rPr>
                            </w:pPr>
                            <w:r w:rsidRPr="00B57123">
                              <w:rPr>
                                <w:rFonts w:cs="Arial"/>
                              </w:rPr>
                              <w:t xml:space="preserve">visit our website at: www.maroondah.vic.gov.au  </w:t>
                            </w:r>
                          </w:p>
                          <w:p w:rsidR="00B24F63" w:rsidRPr="00B57123" w:rsidRDefault="00B24F63" w:rsidP="00B57123">
                            <w:pPr>
                              <w:pStyle w:val="NoSpacing"/>
                              <w:rPr>
                                <w:rFonts w:cs="Arial"/>
                              </w:rPr>
                            </w:pPr>
                            <w:r w:rsidRPr="00B57123">
                              <w:rPr>
                                <w:rFonts w:cs="Arial"/>
                              </w:rPr>
                              <w:t>or call in to one of our service centres:</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City Offices Service Centre</w:t>
                            </w:r>
                          </w:p>
                          <w:p w:rsidR="00B24F63" w:rsidRPr="00B57123" w:rsidRDefault="00B24F63" w:rsidP="00B57123">
                            <w:pPr>
                              <w:pStyle w:val="NoSpacing"/>
                              <w:rPr>
                                <w:rFonts w:cs="Arial"/>
                              </w:rPr>
                            </w:pPr>
                            <w:r w:rsidRPr="00B57123">
                              <w:rPr>
                                <w:rFonts w:cs="Arial"/>
                              </w:rPr>
                              <w:t>Braeside Avenue</w:t>
                            </w:r>
                          </w:p>
                          <w:p w:rsidR="00B24F63" w:rsidRPr="00B57123" w:rsidRDefault="00B24F63" w:rsidP="00B57123">
                            <w:pPr>
                              <w:pStyle w:val="NoSpacing"/>
                              <w:rPr>
                                <w:rFonts w:cs="Arial"/>
                              </w:rPr>
                            </w:pPr>
                            <w:r w:rsidRPr="00B57123">
                              <w:rPr>
                                <w:rFonts w:cs="Arial"/>
                              </w:rPr>
                              <w:t>Ringwood</w:t>
                            </w:r>
                          </w:p>
                          <w:p w:rsidR="00B24F63" w:rsidRPr="00B57123" w:rsidRDefault="00B24F63" w:rsidP="00B57123">
                            <w:pPr>
                              <w:pStyle w:val="NoSpacing"/>
                              <w:rPr>
                                <w:rFonts w:cs="Arial"/>
                              </w:rPr>
                            </w:pPr>
                          </w:p>
                          <w:p w:rsidR="00B24F63" w:rsidRPr="00B57123" w:rsidRDefault="00B24F63" w:rsidP="00B57123">
                            <w:pPr>
                              <w:pStyle w:val="NoSpacing"/>
                              <w:rPr>
                                <w:rFonts w:cs="Arial"/>
                              </w:rPr>
                            </w:pPr>
                            <w:r>
                              <w:rPr>
                                <w:rFonts w:cs="Arial"/>
                              </w:rPr>
                              <w:t>Realm</w:t>
                            </w:r>
                            <w:r w:rsidRPr="00B57123">
                              <w:rPr>
                                <w:rFonts w:cs="Arial"/>
                              </w:rPr>
                              <w:t xml:space="preserve"> Service Centre </w:t>
                            </w:r>
                          </w:p>
                          <w:p w:rsidR="00B24F63" w:rsidRPr="00B57123" w:rsidRDefault="00B24F63" w:rsidP="00B57123">
                            <w:pPr>
                              <w:pStyle w:val="NoSpacing"/>
                              <w:rPr>
                                <w:rFonts w:cs="Arial"/>
                              </w:rPr>
                            </w:pPr>
                            <w:r>
                              <w:rPr>
                                <w:rFonts w:cs="Arial"/>
                              </w:rPr>
                              <w:t>Maroondah Highway</w:t>
                            </w:r>
                          </w:p>
                          <w:p w:rsidR="00B24F63" w:rsidRPr="00B57123" w:rsidRDefault="00B24F63" w:rsidP="00B57123">
                            <w:pPr>
                              <w:pStyle w:val="NoSpacing"/>
                              <w:rPr>
                                <w:rFonts w:cs="Arial"/>
                              </w:rPr>
                            </w:pPr>
                            <w:r w:rsidRPr="00B57123">
                              <w:rPr>
                                <w:rFonts w:cs="Arial"/>
                              </w:rPr>
                              <w:t>Ringwood</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Croydon Service Centre</w:t>
                            </w:r>
                          </w:p>
                          <w:p w:rsidR="00B24F63" w:rsidRPr="00B57123" w:rsidRDefault="00B24F63" w:rsidP="00B57123">
                            <w:pPr>
                              <w:pStyle w:val="NoSpacing"/>
                              <w:rPr>
                                <w:rFonts w:cs="Arial"/>
                              </w:rPr>
                            </w:pPr>
                            <w:r w:rsidRPr="00B57123">
                              <w:rPr>
                                <w:rFonts w:cs="Arial"/>
                              </w:rPr>
                              <w:t>Civic Square</w:t>
                            </w:r>
                          </w:p>
                          <w:p w:rsidR="00B24F63" w:rsidRPr="00B57123" w:rsidRDefault="00B24F63" w:rsidP="00B57123">
                            <w:pPr>
                              <w:pStyle w:val="NoSpacing"/>
                              <w:rPr>
                                <w:rFonts w:cs="Arial"/>
                              </w:rPr>
                            </w:pPr>
                            <w:r w:rsidRPr="00B57123">
                              <w:rPr>
                                <w:rFonts w:cs="Arial"/>
                              </w:rPr>
                              <w:t>Croydon</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Translating and Interpreter Service</w:t>
                            </w:r>
                          </w:p>
                          <w:p w:rsidR="00B24F63" w:rsidRPr="00B57123" w:rsidRDefault="00B24F63" w:rsidP="00B57123">
                            <w:pPr>
                              <w:pStyle w:val="NoSpacing"/>
                              <w:rPr>
                                <w:rFonts w:cs="Arial"/>
                              </w:rPr>
                            </w:pPr>
                            <w:r w:rsidRPr="00B57123">
                              <w:rPr>
                                <w:rFonts w:cs="Arial"/>
                              </w:rPr>
                              <w:t>13 14 50</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National Relay Service (NRS)</w:t>
                            </w:r>
                          </w:p>
                          <w:p w:rsidR="00B24F63" w:rsidRPr="00B57123" w:rsidRDefault="00B24F63" w:rsidP="00B57123">
                            <w:pPr>
                              <w:pStyle w:val="NoSpacing"/>
                              <w:rPr>
                                <w:rFonts w:cs="Arial"/>
                              </w:rPr>
                            </w:pPr>
                            <w:r w:rsidRPr="00B57123">
                              <w:rPr>
                                <w:rFonts w:cs="Arial"/>
                              </w:rPr>
                              <w:t>13 36 77</w:t>
                            </w:r>
                          </w:p>
                          <w:p w:rsidR="00B24F63" w:rsidRPr="00B57123" w:rsidRDefault="00B24F63" w:rsidP="00B57123">
                            <w:pPr>
                              <w:pStyle w:val="NoSpacing"/>
                              <w:rPr>
                                <w:rFonts w:cs="Arial"/>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01"/>
                            </w:tblGrid>
                            <w:tr w:rsidR="00B24F63" w:rsidRPr="00B57123" w:rsidTr="00B57123">
                              <w:trPr>
                                <w:trHeight w:val="444"/>
                              </w:trPr>
                              <w:tc>
                                <w:tcPr>
                                  <w:tcW w:w="675" w:type="dxa"/>
                                  <w:vAlign w:val="center"/>
                                </w:tcPr>
                                <w:p w:rsidR="00B24F63" w:rsidRPr="00B57123" w:rsidRDefault="00B24F63" w:rsidP="00B57123">
                                  <w:pPr>
                                    <w:pStyle w:val="NoSpacing"/>
                                    <w:rPr>
                                      <w:rFonts w:cs="Arial"/>
                                    </w:rPr>
                                  </w:pPr>
                                  <w:r w:rsidRPr="00B57123">
                                    <w:rPr>
                                      <w:rFonts w:cs="Arial"/>
                                      <w:noProof/>
                                      <w:color w:val="1A0DAB"/>
                                      <w:sz w:val="10"/>
                                      <w:szCs w:val="10"/>
                                      <w:lang w:eastAsia="en-AU"/>
                                    </w:rPr>
                                    <w:drawing>
                                      <wp:inline distT="0" distB="0" distL="0" distR="0">
                                        <wp:extent cx="223837" cy="223837"/>
                                        <wp:effectExtent l="19050" t="0" r="4763" b="0"/>
                                        <wp:docPr id="9" name="Picture 52" descr="https://encrypted-tbn0.gstatic.com/images?q=tbn:ANd9GcS6rQdpKJ3lBW3S1dj0Dh3aDwy50TxCCWS-Vsss7HMU-DCossJTG-HIIVJu">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ncrypted-tbn0.gstatic.com/images?q=tbn:ANd9GcS6rQdpKJ3lBW3S1dj0Dh3aDwy50TxCCWS-Vsss7HMU-DCossJTG-HIIVJu">
                                                  <a:hlinkClick r:id="rId20"/>
                                                </pic:cNvPr>
                                                <pic:cNvPicPr>
                                                  <a:picLocks noChangeAspect="1" noChangeArrowheads="1"/>
                                                </pic:cNvPicPr>
                                              </pic:nvPicPr>
                                              <pic:blipFill>
                                                <a:blip r:embed="rId21" cstate="print"/>
                                                <a:srcRect/>
                                                <a:stretch>
                                                  <a:fillRect/>
                                                </a:stretch>
                                              </pic:blipFill>
                                              <pic:spPr bwMode="auto">
                                                <a:xfrm>
                                                  <a:off x="0" y="0"/>
                                                  <a:ext cx="223837" cy="223837"/>
                                                </a:xfrm>
                                                <a:prstGeom prst="rect">
                                                  <a:avLst/>
                                                </a:prstGeom>
                                                <a:noFill/>
                                                <a:ln w="9525">
                                                  <a:noFill/>
                                                  <a:miter lim="800000"/>
                                                  <a:headEnd/>
                                                  <a:tailEnd/>
                                                </a:ln>
                                              </pic:spPr>
                                            </pic:pic>
                                          </a:graphicData>
                                        </a:graphic>
                                      </wp:inline>
                                    </w:drawing>
                                  </w:r>
                                </w:p>
                              </w:tc>
                              <w:tc>
                                <w:tcPr>
                                  <w:tcW w:w="5201" w:type="dxa"/>
                                  <w:vAlign w:val="center"/>
                                </w:tcPr>
                                <w:p w:rsidR="00B24F63" w:rsidRPr="00B57123" w:rsidRDefault="00A701D1" w:rsidP="00B57123">
                                  <w:pPr>
                                    <w:pStyle w:val="NoSpacing"/>
                                    <w:rPr>
                                      <w:rFonts w:cs="Arial"/>
                                    </w:rPr>
                                  </w:pPr>
                                  <w:hyperlink r:id="rId22">
                                    <w:r w:rsidR="00B24F63" w:rsidRPr="00B57123">
                                      <w:rPr>
                                        <w:rFonts w:cs="Arial"/>
                                      </w:rPr>
                                      <w:t>www.facebook.com/MaroondahCity</w:t>
                                    </w:r>
                                    <w:r w:rsidR="00B24F63">
                                      <w:rPr>
                                        <w:rFonts w:cs="Arial"/>
                                      </w:rPr>
                                      <w:t>Council</w:t>
                                    </w:r>
                                  </w:hyperlink>
                                </w:p>
                              </w:tc>
                            </w:tr>
                            <w:tr w:rsidR="00B24F63" w:rsidRPr="00B57123" w:rsidTr="00B57123">
                              <w:trPr>
                                <w:trHeight w:val="444"/>
                              </w:trPr>
                              <w:tc>
                                <w:tcPr>
                                  <w:tcW w:w="675" w:type="dxa"/>
                                  <w:vAlign w:val="center"/>
                                </w:tcPr>
                                <w:p w:rsidR="00B24F63" w:rsidRPr="00B57123" w:rsidRDefault="00B24F63" w:rsidP="00B57123">
                                  <w:pPr>
                                    <w:pStyle w:val="NoSpacing"/>
                                    <w:rPr>
                                      <w:rFonts w:cs="Arial"/>
                                    </w:rPr>
                                  </w:pPr>
                                  <w:r w:rsidRPr="00B57123">
                                    <w:rPr>
                                      <w:rFonts w:cs="Arial"/>
                                      <w:noProof/>
                                      <w:color w:val="1A0DAB"/>
                                      <w:sz w:val="18"/>
                                      <w:szCs w:val="18"/>
                                      <w:lang w:eastAsia="en-AU"/>
                                    </w:rPr>
                                    <w:drawing>
                                      <wp:inline distT="0" distB="0" distL="0" distR="0">
                                        <wp:extent cx="224155" cy="224155"/>
                                        <wp:effectExtent l="19050" t="0" r="4445" b="0"/>
                                        <wp:docPr id="10" name="Picture 46" descr="https://encrypted-tbn1.gstatic.com/images?q=tbn:ANd9GcSLtlrxJABbWKquoy6Fg9bwrHAWPYjil9WOvf9gzNOauGC_Pw2GiDXvGxyu">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crypted-tbn1.gstatic.com/images?q=tbn:ANd9GcSLtlrxJABbWKquoy6Fg9bwrHAWPYjil9WOvf9gzNOauGC_Pw2GiDXvGxyu">
                                                  <a:hlinkClick r:id="rId23"/>
                                                </pic:cNvPr>
                                                <pic:cNvPicPr>
                                                  <a:picLocks noChangeAspect="1" noChangeArrowheads="1"/>
                                                </pic:cNvPicPr>
                                              </pic:nvPicPr>
                                              <pic:blipFill>
                                                <a:blip r:embed="rId24" cstate="print"/>
                                                <a:srcRect/>
                                                <a:stretch>
                                                  <a:fillRect/>
                                                </a:stretch>
                                              </pic:blipFill>
                                              <pic:spPr bwMode="auto">
                                                <a:xfrm>
                                                  <a:off x="0" y="0"/>
                                                  <a:ext cx="224352" cy="224352"/>
                                                </a:xfrm>
                                                <a:prstGeom prst="rect">
                                                  <a:avLst/>
                                                </a:prstGeom>
                                                <a:noFill/>
                                                <a:ln w="9525">
                                                  <a:noFill/>
                                                  <a:miter lim="800000"/>
                                                  <a:headEnd/>
                                                  <a:tailEnd/>
                                                </a:ln>
                                              </pic:spPr>
                                            </pic:pic>
                                          </a:graphicData>
                                        </a:graphic>
                                      </wp:inline>
                                    </w:drawing>
                                  </w:r>
                                </w:p>
                              </w:tc>
                              <w:tc>
                                <w:tcPr>
                                  <w:tcW w:w="5201" w:type="dxa"/>
                                  <w:vAlign w:val="center"/>
                                </w:tcPr>
                                <w:p w:rsidR="00B24F63" w:rsidRPr="00B57123" w:rsidRDefault="00B24F63" w:rsidP="00B57123">
                                  <w:pPr>
                                    <w:pStyle w:val="NoSpacing"/>
                                    <w:rPr>
                                      <w:rFonts w:cs="Arial"/>
                                    </w:rPr>
                                  </w:pPr>
                                  <w:r w:rsidRPr="00B57123">
                                    <w:rPr>
                                      <w:rFonts w:cs="Arial"/>
                                    </w:rPr>
                                    <w:t>@CityofMaroondah</w:t>
                                  </w:r>
                                </w:p>
                              </w:tc>
                            </w:tr>
                            <w:tr w:rsidR="00B24F63" w:rsidRPr="00B57123" w:rsidTr="00B57123">
                              <w:trPr>
                                <w:trHeight w:val="444"/>
                              </w:trPr>
                              <w:tc>
                                <w:tcPr>
                                  <w:tcW w:w="675" w:type="dxa"/>
                                  <w:vAlign w:val="center"/>
                                </w:tcPr>
                                <w:p w:rsidR="00B24F63" w:rsidRPr="00B57123" w:rsidRDefault="00B24F63" w:rsidP="00B57123">
                                  <w:pPr>
                                    <w:pStyle w:val="NoSpacing"/>
                                    <w:rPr>
                                      <w:rFonts w:cs="Arial"/>
                                    </w:rPr>
                                  </w:pPr>
                                  <w:r w:rsidRPr="00B57123">
                                    <w:rPr>
                                      <w:rFonts w:cs="Arial"/>
                                      <w:noProof/>
                                      <w:color w:val="1A0DAB"/>
                                      <w:lang w:eastAsia="en-AU"/>
                                    </w:rPr>
                                    <w:drawing>
                                      <wp:inline distT="0" distB="0" distL="0" distR="0">
                                        <wp:extent cx="224155" cy="224155"/>
                                        <wp:effectExtent l="19050" t="0" r="4445" b="0"/>
                                        <wp:docPr id="11" name="Picture 49" descr="https://encrypted-tbn1.gstatic.com/images?q=tbn:ANd9GcTyy2OpD2BDYdrCBWLrxembOuMI55rr8H5Kyji9Y1BpEztJkOdt0l3Xb1-J">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ncrypted-tbn1.gstatic.com/images?q=tbn:ANd9GcTyy2OpD2BDYdrCBWLrxembOuMI55rr8H5Kyji9Y1BpEztJkOdt0l3Xb1-J">
                                                  <a:hlinkClick r:id="rId25"/>
                                                </pic:cNvPr>
                                                <pic:cNvPicPr>
                                                  <a:picLocks noChangeAspect="1" noChangeArrowheads="1"/>
                                                </pic:cNvPicPr>
                                              </pic:nvPicPr>
                                              <pic:blipFill>
                                                <a:blip r:embed="rId26" cstate="print"/>
                                                <a:srcRect/>
                                                <a:stretch>
                                                  <a:fillRect/>
                                                </a:stretch>
                                              </pic:blipFill>
                                              <pic:spPr bwMode="auto">
                                                <a:xfrm>
                                                  <a:off x="0" y="0"/>
                                                  <a:ext cx="224772" cy="224772"/>
                                                </a:xfrm>
                                                <a:prstGeom prst="rect">
                                                  <a:avLst/>
                                                </a:prstGeom>
                                                <a:noFill/>
                                                <a:ln w="9525">
                                                  <a:noFill/>
                                                  <a:miter lim="800000"/>
                                                  <a:headEnd/>
                                                  <a:tailEnd/>
                                                </a:ln>
                                              </pic:spPr>
                                            </pic:pic>
                                          </a:graphicData>
                                        </a:graphic>
                                      </wp:inline>
                                    </w:drawing>
                                  </w:r>
                                </w:p>
                              </w:tc>
                              <w:tc>
                                <w:tcPr>
                                  <w:tcW w:w="5201" w:type="dxa"/>
                                  <w:vAlign w:val="center"/>
                                </w:tcPr>
                                <w:p w:rsidR="00B24F63" w:rsidRPr="00B57123" w:rsidRDefault="00A701D1" w:rsidP="00B57123">
                                  <w:pPr>
                                    <w:pStyle w:val="NoSpacing"/>
                                    <w:rPr>
                                      <w:rFonts w:cs="Arial"/>
                                    </w:rPr>
                                  </w:pPr>
                                  <w:hyperlink r:id="rId27">
                                    <w:r w:rsidR="00B24F63" w:rsidRPr="00B57123">
                                      <w:rPr>
                                        <w:rFonts w:cs="Arial"/>
                                      </w:rPr>
                                      <w:t>www.youtube.com/CityofMaroondah</w:t>
                                    </w:r>
                                  </w:hyperlink>
                                </w:p>
                              </w:tc>
                            </w:tr>
                          </w:tbl>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maroondah@maroondah.vic.gov.au</w:t>
                            </w:r>
                          </w:p>
                          <w:p w:rsidR="00B24F63" w:rsidRPr="00B57123" w:rsidRDefault="00B24F63" w:rsidP="00B57123">
                            <w:pPr>
                              <w:rPr>
                                <w:rFonts w:cs="Arial"/>
                              </w:rPr>
                            </w:pPr>
                            <w:r w:rsidRPr="00B57123">
                              <w:rPr>
                                <w:rFonts w:cs="Arial"/>
                              </w:rPr>
                              <w:t>www.maroondah.vic.gov.au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30" type="#_x0000_t202" style="position:absolute;margin-left:49.25pt;margin-top:222pt;width:396.05pt;height:4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" stroked="f">
                <v:textbox>
                  <w:txbxContent>
                    <w:p w:rsidR="00B24F63" w:rsidRDefault="00B24F63" w:rsidP="00B57123">
                      <w:pPr>
                        <w:pStyle w:val="NoSpacing"/>
                      </w:pPr>
                      <w:r w:rsidRPr="00B57123">
                        <w:rPr>
                          <w:noProof/>
                          <w:lang w:eastAsia="en-AU"/>
                        </w:rPr>
                        <w:drawing>
                          <wp:inline distT="0" distB="0" distL="0" distR="0">
                            <wp:extent cx="2089785" cy="1023393"/>
                            <wp:effectExtent l="19050" t="0" r="5715" b="0"/>
                            <wp:docPr id="6" name="Picture 4" descr="Maroondah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ondahCityCouncilLogo.bmp"/>
                                    <pic:cNvPicPr/>
                                  </pic:nvPicPr>
                                  <pic:blipFill>
                                    <a:blip r:embed="rId19" cstate="print"/>
                                    <a:stretch>
                                      <a:fillRect/>
                                    </a:stretch>
                                  </pic:blipFill>
                                  <pic:spPr>
                                    <a:xfrm>
                                      <a:off x="0" y="0"/>
                                      <a:ext cx="2089785" cy="1023393"/>
                                    </a:xfrm>
                                    <a:prstGeom prst="rect">
                                      <a:avLst/>
                                    </a:prstGeom>
                                  </pic:spPr>
                                </pic:pic>
                              </a:graphicData>
                            </a:graphic>
                          </wp:inline>
                        </w:drawing>
                      </w:r>
                    </w:p>
                    <w:p w:rsidR="00B24F63" w:rsidRPr="00B57123" w:rsidRDefault="00B24F63" w:rsidP="00B57123">
                      <w:pPr>
                        <w:pStyle w:val="NoSpacing"/>
                        <w:rPr>
                          <w:rFonts w:cs="Arial"/>
                        </w:rPr>
                      </w:pPr>
                      <w:r w:rsidRPr="00B57123">
                        <w:rPr>
                          <w:rFonts w:cs="Arial"/>
                        </w:rPr>
                        <w:t xml:space="preserve">To contact </w:t>
                      </w:r>
                      <w:r>
                        <w:rPr>
                          <w:rFonts w:cs="Arial"/>
                        </w:rPr>
                        <w:t>Council</w:t>
                      </w:r>
                      <w:r w:rsidRPr="00B57123">
                        <w:rPr>
                          <w:rFonts w:cs="Arial"/>
                        </w:rPr>
                        <w:t xml:space="preserve"> telephone 1300 88 22 33 </w:t>
                      </w:r>
                    </w:p>
                    <w:p w:rsidR="00B24F63" w:rsidRPr="00B57123" w:rsidRDefault="00B24F63" w:rsidP="00B57123">
                      <w:pPr>
                        <w:pStyle w:val="NoSpacing"/>
                        <w:rPr>
                          <w:rFonts w:cs="Arial"/>
                        </w:rPr>
                      </w:pPr>
                      <w:r w:rsidRPr="00B57123">
                        <w:rPr>
                          <w:rFonts w:cs="Arial"/>
                        </w:rPr>
                        <w:t xml:space="preserve">visit our website at: www.maroondah.vic.gov.au  </w:t>
                      </w:r>
                    </w:p>
                    <w:p w:rsidR="00B24F63" w:rsidRPr="00B57123" w:rsidRDefault="00B24F63" w:rsidP="00B57123">
                      <w:pPr>
                        <w:pStyle w:val="NoSpacing"/>
                        <w:rPr>
                          <w:rFonts w:cs="Arial"/>
                        </w:rPr>
                      </w:pPr>
                      <w:r w:rsidRPr="00B57123">
                        <w:rPr>
                          <w:rFonts w:cs="Arial"/>
                        </w:rPr>
                        <w:t>or call in to one of our service centres:</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City Offices Service Centre</w:t>
                      </w:r>
                    </w:p>
                    <w:p w:rsidR="00B24F63" w:rsidRPr="00B57123" w:rsidRDefault="00B24F63" w:rsidP="00B57123">
                      <w:pPr>
                        <w:pStyle w:val="NoSpacing"/>
                        <w:rPr>
                          <w:rFonts w:cs="Arial"/>
                        </w:rPr>
                      </w:pPr>
                      <w:r w:rsidRPr="00B57123">
                        <w:rPr>
                          <w:rFonts w:cs="Arial"/>
                        </w:rPr>
                        <w:t>Braeside Avenue</w:t>
                      </w:r>
                    </w:p>
                    <w:p w:rsidR="00B24F63" w:rsidRPr="00B57123" w:rsidRDefault="00B24F63" w:rsidP="00B57123">
                      <w:pPr>
                        <w:pStyle w:val="NoSpacing"/>
                        <w:rPr>
                          <w:rFonts w:cs="Arial"/>
                        </w:rPr>
                      </w:pPr>
                      <w:r w:rsidRPr="00B57123">
                        <w:rPr>
                          <w:rFonts w:cs="Arial"/>
                        </w:rPr>
                        <w:t>Ringwood</w:t>
                      </w:r>
                    </w:p>
                    <w:p w:rsidR="00B24F63" w:rsidRPr="00B57123" w:rsidRDefault="00B24F63" w:rsidP="00B57123">
                      <w:pPr>
                        <w:pStyle w:val="NoSpacing"/>
                        <w:rPr>
                          <w:rFonts w:cs="Arial"/>
                        </w:rPr>
                      </w:pPr>
                    </w:p>
                    <w:p w:rsidR="00B24F63" w:rsidRPr="00B57123" w:rsidRDefault="00B24F63" w:rsidP="00B57123">
                      <w:pPr>
                        <w:pStyle w:val="NoSpacing"/>
                        <w:rPr>
                          <w:rFonts w:cs="Arial"/>
                        </w:rPr>
                      </w:pPr>
                      <w:r>
                        <w:rPr>
                          <w:rFonts w:cs="Arial"/>
                        </w:rPr>
                        <w:t>Realm</w:t>
                      </w:r>
                      <w:r w:rsidRPr="00B57123">
                        <w:rPr>
                          <w:rFonts w:cs="Arial"/>
                        </w:rPr>
                        <w:t xml:space="preserve"> Service Centre </w:t>
                      </w:r>
                    </w:p>
                    <w:p w:rsidR="00B24F63" w:rsidRPr="00B57123" w:rsidRDefault="00B24F63" w:rsidP="00B57123">
                      <w:pPr>
                        <w:pStyle w:val="NoSpacing"/>
                        <w:rPr>
                          <w:rFonts w:cs="Arial"/>
                        </w:rPr>
                      </w:pPr>
                      <w:r>
                        <w:rPr>
                          <w:rFonts w:cs="Arial"/>
                        </w:rPr>
                        <w:t>Maroondah Highway</w:t>
                      </w:r>
                    </w:p>
                    <w:p w:rsidR="00B24F63" w:rsidRPr="00B57123" w:rsidRDefault="00B24F63" w:rsidP="00B57123">
                      <w:pPr>
                        <w:pStyle w:val="NoSpacing"/>
                        <w:rPr>
                          <w:rFonts w:cs="Arial"/>
                        </w:rPr>
                      </w:pPr>
                      <w:r w:rsidRPr="00B57123">
                        <w:rPr>
                          <w:rFonts w:cs="Arial"/>
                        </w:rPr>
                        <w:t>Ringwood</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Croydon Service Centre</w:t>
                      </w:r>
                    </w:p>
                    <w:p w:rsidR="00B24F63" w:rsidRPr="00B57123" w:rsidRDefault="00B24F63" w:rsidP="00B57123">
                      <w:pPr>
                        <w:pStyle w:val="NoSpacing"/>
                        <w:rPr>
                          <w:rFonts w:cs="Arial"/>
                        </w:rPr>
                      </w:pPr>
                      <w:r w:rsidRPr="00B57123">
                        <w:rPr>
                          <w:rFonts w:cs="Arial"/>
                        </w:rPr>
                        <w:t>Civic Square</w:t>
                      </w:r>
                    </w:p>
                    <w:p w:rsidR="00B24F63" w:rsidRPr="00B57123" w:rsidRDefault="00B24F63" w:rsidP="00B57123">
                      <w:pPr>
                        <w:pStyle w:val="NoSpacing"/>
                        <w:rPr>
                          <w:rFonts w:cs="Arial"/>
                        </w:rPr>
                      </w:pPr>
                      <w:r w:rsidRPr="00B57123">
                        <w:rPr>
                          <w:rFonts w:cs="Arial"/>
                        </w:rPr>
                        <w:t>Croydon</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Translating and Interpreter Service</w:t>
                      </w:r>
                    </w:p>
                    <w:p w:rsidR="00B24F63" w:rsidRPr="00B57123" w:rsidRDefault="00B24F63" w:rsidP="00B57123">
                      <w:pPr>
                        <w:pStyle w:val="NoSpacing"/>
                        <w:rPr>
                          <w:rFonts w:cs="Arial"/>
                        </w:rPr>
                      </w:pPr>
                      <w:r w:rsidRPr="00B57123">
                        <w:rPr>
                          <w:rFonts w:cs="Arial"/>
                        </w:rPr>
                        <w:t>13 14 50</w:t>
                      </w:r>
                    </w:p>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National Relay Service (NRS)</w:t>
                      </w:r>
                    </w:p>
                    <w:p w:rsidR="00B24F63" w:rsidRPr="00B57123" w:rsidRDefault="00B24F63" w:rsidP="00B57123">
                      <w:pPr>
                        <w:pStyle w:val="NoSpacing"/>
                        <w:rPr>
                          <w:rFonts w:cs="Arial"/>
                        </w:rPr>
                      </w:pPr>
                      <w:r w:rsidRPr="00B57123">
                        <w:rPr>
                          <w:rFonts w:cs="Arial"/>
                        </w:rPr>
                        <w:t>13 36 77</w:t>
                      </w:r>
                    </w:p>
                    <w:p w:rsidR="00B24F63" w:rsidRPr="00B57123" w:rsidRDefault="00B24F63" w:rsidP="00B57123">
                      <w:pPr>
                        <w:pStyle w:val="NoSpacing"/>
                        <w:rPr>
                          <w:rFonts w:cs="Arial"/>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01"/>
                      </w:tblGrid>
                      <w:tr w:rsidR="00B24F63" w:rsidRPr="00B57123" w:rsidTr="00B57123">
                        <w:trPr>
                          <w:trHeight w:val="444"/>
                        </w:trPr>
                        <w:tc>
                          <w:tcPr>
                            <w:tcW w:w="675" w:type="dxa"/>
                            <w:vAlign w:val="center"/>
                          </w:tcPr>
                          <w:p w:rsidR="00B24F63" w:rsidRPr="00B57123" w:rsidRDefault="00B24F63" w:rsidP="00B57123">
                            <w:pPr>
                              <w:pStyle w:val="NoSpacing"/>
                              <w:rPr>
                                <w:rFonts w:cs="Arial"/>
                              </w:rPr>
                            </w:pPr>
                            <w:r w:rsidRPr="00B57123">
                              <w:rPr>
                                <w:rFonts w:cs="Arial"/>
                                <w:noProof/>
                                <w:color w:val="1A0DAB"/>
                                <w:sz w:val="10"/>
                                <w:szCs w:val="10"/>
                                <w:lang w:eastAsia="en-AU"/>
                              </w:rPr>
                              <w:drawing>
                                <wp:inline distT="0" distB="0" distL="0" distR="0">
                                  <wp:extent cx="223837" cy="223837"/>
                                  <wp:effectExtent l="19050" t="0" r="4763" b="0"/>
                                  <wp:docPr id="9" name="Picture 52" descr="https://encrypted-tbn0.gstatic.com/images?q=tbn:ANd9GcS6rQdpKJ3lBW3S1dj0Dh3aDwy50TxCCWS-Vsss7HMU-DCossJTG-HIIVJu">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ncrypted-tbn0.gstatic.com/images?q=tbn:ANd9GcS6rQdpKJ3lBW3S1dj0Dh3aDwy50TxCCWS-Vsss7HMU-DCossJTG-HIIVJu">
                                            <a:hlinkClick r:id="rId20"/>
                                          </pic:cNvPr>
                                          <pic:cNvPicPr>
                                            <a:picLocks noChangeAspect="1" noChangeArrowheads="1"/>
                                          </pic:cNvPicPr>
                                        </pic:nvPicPr>
                                        <pic:blipFill>
                                          <a:blip r:embed="rId21" cstate="print"/>
                                          <a:srcRect/>
                                          <a:stretch>
                                            <a:fillRect/>
                                          </a:stretch>
                                        </pic:blipFill>
                                        <pic:spPr bwMode="auto">
                                          <a:xfrm>
                                            <a:off x="0" y="0"/>
                                            <a:ext cx="223837" cy="223837"/>
                                          </a:xfrm>
                                          <a:prstGeom prst="rect">
                                            <a:avLst/>
                                          </a:prstGeom>
                                          <a:noFill/>
                                          <a:ln w="9525">
                                            <a:noFill/>
                                            <a:miter lim="800000"/>
                                            <a:headEnd/>
                                            <a:tailEnd/>
                                          </a:ln>
                                        </pic:spPr>
                                      </pic:pic>
                                    </a:graphicData>
                                  </a:graphic>
                                </wp:inline>
                              </w:drawing>
                            </w:r>
                          </w:p>
                        </w:tc>
                        <w:tc>
                          <w:tcPr>
                            <w:tcW w:w="5201" w:type="dxa"/>
                            <w:vAlign w:val="center"/>
                          </w:tcPr>
                          <w:p w:rsidR="00B24F63" w:rsidRPr="00B57123" w:rsidRDefault="00A701D1" w:rsidP="00B57123">
                            <w:pPr>
                              <w:pStyle w:val="NoSpacing"/>
                              <w:rPr>
                                <w:rFonts w:cs="Arial"/>
                              </w:rPr>
                            </w:pPr>
                            <w:hyperlink r:id="rId28">
                              <w:r w:rsidR="00B24F63" w:rsidRPr="00B57123">
                                <w:rPr>
                                  <w:rFonts w:cs="Arial"/>
                                </w:rPr>
                                <w:t>www.facebook.com/MaroondahCity</w:t>
                              </w:r>
                              <w:r w:rsidR="00B24F63">
                                <w:rPr>
                                  <w:rFonts w:cs="Arial"/>
                                </w:rPr>
                                <w:t>Council</w:t>
                              </w:r>
                            </w:hyperlink>
                          </w:p>
                        </w:tc>
                      </w:tr>
                      <w:tr w:rsidR="00B24F63" w:rsidRPr="00B57123" w:rsidTr="00B57123">
                        <w:trPr>
                          <w:trHeight w:val="444"/>
                        </w:trPr>
                        <w:tc>
                          <w:tcPr>
                            <w:tcW w:w="675" w:type="dxa"/>
                            <w:vAlign w:val="center"/>
                          </w:tcPr>
                          <w:p w:rsidR="00B24F63" w:rsidRPr="00B57123" w:rsidRDefault="00B24F63" w:rsidP="00B57123">
                            <w:pPr>
                              <w:pStyle w:val="NoSpacing"/>
                              <w:rPr>
                                <w:rFonts w:cs="Arial"/>
                              </w:rPr>
                            </w:pPr>
                            <w:r w:rsidRPr="00B57123">
                              <w:rPr>
                                <w:rFonts w:cs="Arial"/>
                                <w:noProof/>
                                <w:color w:val="1A0DAB"/>
                                <w:sz w:val="18"/>
                                <w:szCs w:val="18"/>
                                <w:lang w:eastAsia="en-AU"/>
                              </w:rPr>
                              <w:drawing>
                                <wp:inline distT="0" distB="0" distL="0" distR="0">
                                  <wp:extent cx="224155" cy="224155"/>
                                  <wp:effectExtent l="19050" t="0" r="4445" b="0"/>
                                  <wp:docPr id="10" name="Picture 46" descr="https://encrypted-tbn1.gstatic.com/images?q=tbn:ANd9GcSLtlrxJABbWKquoy6Fg9bwrHAWPYjil9WOvf9gzNOauGC_Pw2GiDXvGxyu">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crypted-tbn1.gstatic.com/images?q=tbn:ANd9GcSLtlrxJABbWKquoy6Fg9bwrHAWPYjil9WOvf9gzNOauGC_Pw2GiDXvGxyu">
                                            <a:hlinkClick r:id="rId23"/>
                                          </pic:cNvPr>
                                          <pic:cNvPicPr>
                                            <a:picLocks noChangeAspect="1" noChangeArrowheads="1"/>
                                          </pic:cNvPicPr>
                                        </pic:nvPicPr>
                                        <pic:blipFill>
                                          <a:blip r:embed="rId24" cstate="print"/>
                                          <a:srcRect/>
                                          <a:stretch>
                                            <a:fillRect/>
                                          </a:stretch>
                                        </pic:blipFill>
                                        <pic:spPr bwMode="auto">
                                          <a:xfrm>
                                            <a:off x="0" y="0"/>
                                            <a:ext cx="224352" cy="224352"/>
                                          </a:xfrm>
                                          <a:prstGeom prst="rect">
                                            <a:avLst/>
                                          </a:prstGeom>
                                          <a:noFill/>
                                          <a:ln w="9525">
                                            <a:noFill/>
                                            <a:miter lim="800000"/>
                                            <a:headEnd/>
                                            <a:tailEnd/>
                                          </a:ln>
                                        </pic:spPr>
                                      </pic:pic>
                                    </a:graphicData>
                                  </a:graphic>
                                </wp:inline>
                              </w:drawing>
                            </w:r>
                          </w:p>
                        </w:tc>
                        <w:tc>
                          <w:tcPr>
                            <w:tcW w:w="5201" w:type="dxa"/>
                            <w:vAlign w:val="center"/>
                          </w:tcPr>
                          <w:p w:rsidR="00B24F63" w:rsidRPr="00B57123" w:rsidRDefault="00B24F63" w:rsidP="00B57123">
                            <w:pPr>
                              <w:pStyle w:val="NoSpacing"/>
                              <w:rPr>
                                <w:rFonts w:cs="Arial"/>
                              </w:rPr>
                            </w:pPr>
                            <w:r w:rsidRPr="00B57123">
                              <w:rPr>
                                <w:rFonts w:cs="Arial"/>
                              </w:rPr>
                              <w:t>@CityofMaroondah</w:t>
                            </w:r>
                          </w:p>
                        </w:tc>
                      </w:tr>
                      <w:tr w:rsidR="00B24F63" w:rsidRPr="00B57123" w:rsidTr="00B57123">
                        <w:trPr>
                          <w:trHeight w:val="444"/>
                        </w:trPr>
                        <w:tc>
                          <w:tcPr>
                            <w:tcW w:w="675" w:type="dxa"/>
                            <w:vAlign w:val="center"/>
                          </w:tcPr>
                          <w:p w:rsidR="00B24F63" w:rsidRPr="00B57123" w:rsidRDefault="00B24F63" w:rsidP="00B57123">
                            <w:pPr>
                              <w:pStyle w:val="NoSpacing"/>
                              <w:rPr>
                                <w:rFonts w:cs="Arial"/>
                              </w:rPr>
                            </w:pPr>
                            <w:r w:rsidRPr="00B57123">
                              <w:rPr>
                                <w:rFonts w:cs="Arial"/>
                                <w:noProof/>
                                <w:color w:val="1A0DAB"/>
                                <w:lang w:eastAsia="en-AU"/>
                              </w:rPr>
                              <w:drawing>
                                <wp:inline distT="0" distB="0" distL="0" distR="0">
                                  <wp:extent cx="224155" cy="224155"/>
                                  <wp:effectExtent l="19050" t="0" r="4445" b="0"/>
                                  <wp:docPr id="11" name="Picture 49" descr="https://encrypted-tbn1.gstatic.com/images?q=tbn:ANd9GcTyy2OpD2BDYdrCBWLrxembOuMI55rr8H5Kyji9Y1BpEztJkOdt0l3Xb1-J">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ncrypted-tbn1.gstatic.com/images?q=tbn:ANd9GcTyy2OpD2BDYdrCBWLrxembOuMI55rr8H5Kyji9Y1BpEztJkOdt0l3Xb1-J">
                                            <a:hlinkClick r:id="rId25"/>
                                          </pic:cNvPr>
                                          <pic:cNvPicPr>
                                            <a:picLocks noChangeAspect="1" noChangeArrowheads="1"/>
                                          </pic:cNvPicPr>
                                        </pic:nvPicPr>
                                        <pic:blipFill>
                                          <a:blip r:embed="rId26" cstate="print"/>
                                          <a:srcRect/>
                                          <a:stretch>
                                            <a:fillRect/>
                                          </a:stretch>
                                        </pic:blipFill>
                                        <pic:spPr bwMode="auto">
                                          <a:xfrm>
                                            <a:off x="0" y="0"/>
                                            <a:ext cx="224772" cy="224772"/>
                                          </a:xfrm>
                                          <a:prstGeom prst="rect">
                                            <a:avLst/>
                                          </a:prstGeom>
                                          <a:noFill/>
                                          <a:ln w="9525">
                                            <a:noFill/>
                                            <a:miter lim="800000"/>
                                            <a:headEnd/>
                                            <a:tailEnd/>
                                          </a:ln>
                                        </pic:spPr>
                                      </pic:pic>
                                    </a:graphicData>
                                  </a:graphic>
                                </wp:inline>
                              </w:drawing>
                            </w:r>
                          </w:p>
                        </w:tc>
                        <w:tc>
                          <w:tcPr>
                            <w:tcW w:w="5201" w:type="dxa"/>
                            <w:vAlign w:val="center"/>
                          </w:tcPr>
                          <w:p w:rsidR="00B24F63" w:rsidRPr="00B57123" w:rsidRDefault="00A701D1" w:rsidP="00B57123">
                            <w:pPr>
                              <w:pStyle w:val="NoSpacing"/>
                              <w:rPr>
                                <w:rFonts w:cs="Arial"/>
                              </w:rPr>
                            </w:pPr>
                            <w:hyperlink r:id="rId29">
                              <w:r w:rsidR="00B24F63" w:rsidRPr="00B57123">
                                <w:rPr>
                                  <w:rFonts w:cs="Arial"/>
                                </w:rPr>
                                <w:t>www.youtube.com/CityofMaroondah</w:t>
                              </w:r>
                            </w:hyperlink>
                          </w:p>
                        </w:tc>
                      </w:tr>
                    </w:tbl>
                    <w:p w:rsidR="00B24F63" w:rsidRPr="00B57123" w:rsidRDefault="00B24F63" w:rsidP="00B57123">
                      <w:pPr>
                        <w:pStyle w:val="NoSpacing"/>
                        <w:rPr>
                          <w:rFonts w:cs="Arial"/>
                        </w:rPr>
                      </w:pPr>
                    </w:p>
                    <w:p w:rsidR="00B24F63" w:rsidRPr="00B57123" w:rsidRDefault="00B24F63" w:rsidP="00B57123">
                      <w:pPr>
                        <w:pStyle w:val="NoSpacing"/>
                        <w:rPr>
                          <w:rFonts w:cs="Arial"/>
                        </w:rPr>
                      </w:pPr>
                      <w:r w:rsidRPr="00B57123">
                        <w:rPr>
                          <w:rFonts w:cs="Arial"/>
                        </w:rPr>
                        <w:t>maroondah@maroondah.vic.gov.au</w:t>
                      </w:r>
                    </w:p>
                    <w:p w:rsidR="00B24F63" w:rsidRPr="00B57123" w:rsidRDefault="00B24F63" w:rsidP="00B57123">
                      <w:pPr>
                        <w:rPr>
                          <w:rFonts w:cs="Arial"/>
                        </w:rPr>
                      </w:pPr>
                      <w:r w:rsidRPr="00B57123">
                        <w:rPr>
                          <w:rFonts w:cs="Arial"/>
                        </w:rPr>
                        <w:t>www.maroondah.vic.gov.au</w:t>
                      </w:r>
                    </w:p>
                  </w:txbxContent>
                </v:textbox>
              </v:shape>
            </w:pict>
          </mc:Fallback>
        </mc:AlternateContent>
      </w:r>
      <w:r>
        <w:rPr>
          <w:rFonts w:cs="Arial"/>
          <w:noProof/>
          <w:lang w:eastAsia="en-AU"/>
        </w:rPr>
        <mc:AlternateContent>
          <mc:Choice Requires="wps">
            <w:drawing>
              <wp:anchor distT="0" distB="0" distL="114300" distR="114300" simplePos="0" relativeHeight="251671552" behindDoc="0" locked="0" layoutInCell="1" allowOverlap="1">
                <wp:simplePos x="0" y="0"/>
                <wp:positionH relativeFrom="column">
                  <wp:posOffset>82550</wp:posOffset>
                </wp:positionH>
                <wp:positionV relativeFrom="paragraph">
                  <wp:posOffset>9267825</wp:posOffset>
                </wp:positionV>
                <wp:extent cx="6687820" cy="733425"/>
                <wp:effectExtent l="0" t="0" r="1905" b="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82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4F2A3" id="Rectangle 13" o:spid="_x0000_s1026" style="position:absolute;margin-left:6.5pt;margin-top:729.75pt;width:526.6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" stroked="f"/>
            </w:pict>
          </mc:Fallback>
        </mc:AlternateContent>
      </w:r>
    </w:p>
    <w:sectPr w:rsidR="00996516" w:rsidRPr="00996516" w:rsidSect="006122B0">
      <w:headerReference w:type="default" r:id="rId30"/>
      <w:footerReference w:type="even" r:id="rId31"/>
      <w:footerReference w:type="default" r:id="rId3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6AF" w:rsidRDefault="00C076AF" w:rsidP="006122B0">
      <w:r>
        <w:separator/>
      </w:r>
    </w:p>
  </w:endnote>
  <w:endnote w:type="continuationSeparator" w:id="0">
    <w:p w:rsidR="00C076AF" w:rsidRDefault="00C076AF"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Arial Unicode MS"/>
    <w:panose1 w:val="00000000000000000000"/>
    <w:charset w:val="00"/>
    <w:family w:val="modern"/>
    <w:notTrueType/>
    <w:pitch w:val="variable"/>
    <w:sig w:usb0="A00000F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05" w:rsidRDefault="003D0405" w:rsidP="006122B0">
    <w:pPr>
      <w:pStyle w:val="Footer"/>
      <w:jc w:val="right"/>
      <w:rPr>
        <w:sz w:val="20"/>
        <w:lang w:val="en-US"/>
      </w:rPr>
    </w:pPr>
    <w:r w:rsidRPr="006122B0">
      <w:rPr>
        <w:noProof/>
        <w:sz w:val="20"/>
        <w:lang w:eastAsia="en-AU"/>
      </w:rPr>
      <w:drawing>
        <wp:inline distT="0" distB="0" distL="0" distR="0">
          <wp:extent cx="6495427" cy="94887"/>
          <wp:effectExtent l="19050" t="0" r="623" b="0"/>
          <wp:docPr id="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rsidR="003D0405" w:rsidRDefault="003D0405" w:rsidP="006122B0">
    <w:pPr>
      <w:pStyle w:val="Footer"/>
      <w:jc w:val="right"/>
      <w:rPr>
        <w:sz w:val="20"/>
        <w:lang w:val="en-US"/>
      </w:rPr>
    </w:pPr>
  </w:p>
  <w:p w:rsidR="003D0405" w:rsidRPr="006122B0" w:rsidRDefault="003D0405" w:rsidP="006122B0">
    <w:pPr>
      <w:pStyle w:val="Footer"/>
      <w:jc w:val="right"/>
      <w:rPr>
        <w:sz w:val="20"/>
        <w:lang w:val="en-US"/>
      </w:rPr>
    </w:pPr>
    <w:r>
      <w:rPr>
        <w:sz w:val="20"/>
        <w:lang w:val="en-US"/>
      </w:rPr>
      <w:t>Draft Rating Strategy</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sidR="00A701D1">
      <w:rPr>
        <w:b/>
        <w:noProof/>
        <w:sz w:val="20"/>
        <w:lang w:val="en-US"/>
      </w:rPr>
      <w:t>2</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05" w:rsidRDefault="003D0405" w:rsidP="006122B0">
    <w:pPr>
      <w:pStyle w:val="Footer"/>
      <w:jc w:val="right"/>
      <w:rPr>
        <w:sz w:val="20"/>
        <w:lang w:val="en-US"/>
      </w:rPr>
    </w:pPr>
    <w:r w:rsidRPr="006122B0">
      <w:rPr>
        <w:noProof/>
        <w:sz w:val="20"/>
        <w:lang w:eastAsia="en-AU"/>
      </w:rPr>
      <w:drawing>
        <wp:inline distT="0" distB="0" distL="0" distR="0">
          <wp:extent cx="6645910" cy="94035"/>
          <wp:effectExtent l="19050" t="0" r="2540" b="0"/>
          <wp:docPr id="1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rsidR="003D0405" w:rsidRDefault="003D0405" w:rsidP="006122B0">
    <w:pPr>
      <w:pStyle w:val="Footer"/>
      <w:jc w:val="right"/>
      <w:rPr>
        <w:sz w:val="20"/>
        <w:lang w:val="en-US"/>
      </w:rPr>
    </w:pPr>
  </w:p>
  <w:p w:rsidR="003D0405" w:rsidRPr="006122B0" w:rsidRDefault="003D0405" w:rsidP="006122B0">
    <w:pPr>
      <w:pStyle w:val="Footer"/>
      <w:jc w:val="right"/>
      <w:rPr>
        <w:b/>
        <w:sz w:val="20"/>
        <w:lang w:val="en-US"/>
      </w:rPr>
    </w:pPr>
    <w:r>
      <w:rPr>
        <w:sz w:val="20"/>
        <w:lang w:val="en-US"/>
      </w:rPr>
      <w:t xml:space="preserve"> Draft Rating Strategy</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sidR="00A701D1">
      <w:rPr>
        <w:b/>
        <w:noProof/>
        <w:sz w:val="20"/>
        <w:lang w:val="en-US"/>
      </w:rPr>
      <w:t>27</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6AF" w:rsidRDefault="00C076AF" w:rsidP="006122B0">
      <w:r>
        <w:separator/>
      </w:r>
    </w:p>
  </w:footnote>
  <w:footnote w:type="continuationSeparator" w:id="0">
    <w:p w:rsidR="00C076AF" w:rsidRDefault="00C076AF" w:rsidP="0061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05" w:rsidRDefault="003D0405" w:rsidP="00493004">
    <w:pPr>
      <w:pStyle w:val="Header"/>
      <w:tabs>
        <w:tab w:val="clear" w:pos="4513"/>
        <w:tab w:val="clear" w:pos="9026"/>
        <w:tab w:val="left" w:pos="60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2A4DB76"/>
    <w:lvl w:ilvl="0">
      <w:numFmt w:val="bullet"/>
      <w:lvlText w:val="*"/>
      <w:lvlJc w:val="left"/>
    </w:lvl>
  </w:abstractNum>
  <w:abstractNum w:abstractNumId="1" w15:restartNumberingAfterBreak="0">
    <w:nsid w:val="0047468E"/>
    <w:multiLevelType w:val="hybridMultilevel"/>
    <w:tmpl w:val="E6FCD8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582838"/>
    <w:multiLevelType w:val="hybridMultilevel"/>
    <w:tmpl w:val="74FA1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785192"/>
    <w:multiLevelType w:val="hybridMultilevel"/>
    <w:tmpl w:val="10888C60"/>
    <w:lvl w:ilvl="0" w:tplc="3B5816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3F305B"/>
    <w:multiLevelType w:val="hybridMultilevel"/>
    <w:tmpl w:val="055E4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8372E2"/>
    <w:multiLevelType w:val="hybridMultilevel"/>
    <w:tmpl w:val="0E960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D7331E"/>
    <w:multiLevelType w:val="hybridMultilevel"/>
    <w:tmpl w:val="65D8AE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BD860D6"/>
    <w:multiLevelType w:val="hybridMultilevel"/>
    <w:tmpl w:val="995E446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BA4AEC"/>
    <w:multiLevelType w:val="hybridMultilevel"/>
    <w:tmpl w:val="2376A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126415"/>
    <w:multiLevelType w:val="hybridMultilevel"/>
    <w:tmpl w:val="6840D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841A92"/>
    <w:multiLevelType w:val="hybridMultilevel"/>
    <w:tmpl w:val="29C0E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2D709E"/>
    <w:multiLevelType w:val="hybridMultilevel"/>
    <w:tmpl w:val="6132449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4350894"/>
    <w:multiLevelType w:val="hybridMultilevel"/>
    <w:tmpl w:val="96CEE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BE3C12"/>
    <w:multiLevelType w:val="hybridMultilevel"/>
    <w:tmpl w:val="88A2390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309600E"/>
    <w:multiLevelType w:val="hybridMultilevel"/>
    <w:tmpl w:val="6C4AC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9C7621"/>
    <w:multiLevelType w:val="hybridMultilevel"/>
    <w:tmpl w:val="3132B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85567F"/>
    <w:multiLevelType w:val="hybridMultilevel"/>
    <w:tmpl w:val="9BAE0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3F372F"/>
    <w:multiLevelType w:val="hybridMultilevel"/>
    <w:tmpl w:val="A99A0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EB0F21"/>
    <w:multiLevelType w:val="hybridMultilevel"/>
    <w:tmpl w:val="14E03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8E042FF"/>
    <w:multiLevelType w:val="hybridMultilevel"/>
    <w:tmpl w:val="0A84C70C"/>
    <w:lvl w:ilvl="0" w:tplc="CEB81C5A">
      <w:start w:val="1"/>
      <w:numFmt w:val="decimal"/>
      <w:lvlText w:val="%1."/>
      <w:lvlJc w:val="left"/>
      <w:pPr>
        <w:ind w:left="720" w:hanging="360"/>
      </w:pPr>
      <w:rPr>
        <w:rFonts w:ascii="Arial" w:hAnsi="Arial"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961CCC"/>
    <w:multiLevelType w:val="hybridMultilevel"/>
    <w:tmpl w:val="F42AB8FE"/>
    <w:lvl w:ilvl="0" w:tplc="CEB81C5A">
      <w:start w:val="1"/>
      <w:numFmt w:val="decimal"/>
      <w:lvlText w:val="%1."/>
      <w:lvlJc w:val="left"/>
      <w:pPr>
        <w:ind w:left="1440" w:hanging="360"/>
      </w:pPr>
      <w:rPr>
        <w:rFonts w:ascii="Arial" w:hAnsi="Arial" w:hint="default"/>
        <w:sz w:val="22"/>
      </w:rPr>
    </w:lvl>
    <w:lvl w:ilvl="1" w:tplc="0C090017">
      <w:start w:val="1"/>
      <w:numFmt w:val="lowerLetter"/>
      <w:lvlText w:val="%2)"/>
      <w:lvlJc w:val="left"/>
      <w:pPr>
        <w:ind w:left="2160" w:hanging="360"/>
      </w:pPr>
    </w:lvl>
    <w:lvl w:ilvl="2" w:tplc="0C09001B">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5D21173F"/>
    <w:multiLevelType w:val="hybridMultilevel"/>
    <w:tmpl w:val="8014F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3618E5"/>
    <w:multiLevelType w:val="hybridMultilevel"/>
    <w:tmpl w:val="DFD472F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6457191B"/>
    <w:multiLevelType w:val="hybridMultilevel"/>
    <w:tmpl w:val="B622AE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7AA24F0"/>
    <w:multiLevelType w:val="hybridMultilevel"/>
    <w:tmpl w:val="A6E8C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2D4E91"/>
    <w:multiLevelType w:val="hybridMultilevel"/>
    <w:tmpl w:val="9AEC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27B3C3D"/>
    <w:multiLevelType w:val="hybridMultilevel"/>
    <w:tmpl w:val="FC6EC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A61410E"/>
    <w:multiLevelType w:val="hybridMultilevel"/>
    <w:tmpl w:val="889C30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11"/>
  </w:num>
  <w:num w:numId="4">
    <w:abstractNumId w:val="22"/>
  </w:num>
  <w:num w:numId="5">
    <w:abstractNumId w:val="3"/>
  </w:num>
  <w:num w:numId="6">
    <w:abstractNumId w:val="21"/>
  </w:num>
  <w:num w:numId="7">
    <w:abstractNumId w:val="6"/>
  </w:num>
  <w:num w:numId="8">
    <w:abstractNumId w:val="28"/>
  </w:num>
  <w:num w:numId="9">
    <w:abstractNumId w:val="2"/>
  </w:num>
  <w:num w:numId="10">
    <w:abstractNumId w:val="0"/>
    <w:lvlOverride w:ilvl="0">
      <w:lvl w:ilvl="0">
        <w:start w:val="1"/>
        <w:numFmt w:val="bullet"/>
        <w:lvlText w:val=""/>
        <w:legacy w:legacy="1" w:legacySpace="0" w:legacyIndent="283"/>
        <w:lvlJc w:val="left"/>
        <w:pPr>
          <w:ind w:left="1276" w:hanging="283"/>
        </w:pPr>
        <w:rPr>
          <w:rFonts w:ascii="Symbol" w:hAnsi="Symbol" w:hint="default"/>
        </w:rPr>
      </w:lvl>
    </w:lvlOverride>
  </w:num>
  <w:num w:numId="11">
    <w:abstractNumId w:val="24"/>
  </w:num>
  <w:num w:numId="12">
    <w:abstractNumId w:val="16"/>
  </w:num>
  <w:num w:numId="13">
    <w:abstractNumId w:val="13"/>
  </w:num>
  <w:num w:numId="14">
    <w:abstractNumId w:val="19"/>
  </w:num>
  <w:num w:numId="15">
    <w:abstractNumId w:val="17"/>
  </w:num>
  <w:num w:numId="16">
    <w:abstractNumId w:val="25"/>
  </w:num>
  <w:num w:numId="17">
    <w:abstractNumId w:val="8"/>
  </w:num>
  <w:num w:numId="18">
    <w:abstractNumId w:val="7"/>
  </w:num>
  <w:num w:numId="19">
    <w:abstractNumId w:val="12"/>
  </w:num>
  <w:num w:numId="20">
    <w:abstractNumId w:val="4"/>
  </w:num>
  <w:num w:numId="21">
    <w:abstractNumId w:val="10"/>
  </w:num>
  <w:num w:numId="22">
    <w:abstractNumId w:val="9"/>
  </w:num>
  <w:num w:numId="23">
    <w:abstractNumId w:val="20"/>
  </w:num>
  <w:num w:numId="24">
    <w:abstractNumId w:val="27"/>
  </w:num>
  <w:num w:numId="25">
    <w:abstractNumId w:val="14"/>
  </w:num>
  <w:num w:numId="26">
    <w:abstractNumId w:val="5"/>
  </w:num>
  <w:num w:numId="27">
    <w:abstractNumId w:val="1"/>
  </w:num>
  <w:num w:numId="28">
    <w:abstractNumId w:val="18"/>
  </w:num>
  <w:num w:numId="29">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B78"/>
    <w:rsid w:val="00002618"/>
    <w:rsid w:val="00010444"/>
    <w:rsid w:val="000143EB"/>
    <w:rsid w:val="00022209"/>
    <w:rsid w:val="00022430"/>
    <w:rsid w:val="000309B2"/>
    <w:rsid w:val="000351E2"/>
    <w:rsid w:val="00035C23"/>
    <w:rsid w:val="00040ED2"/>
    <w:rsid w:val="00044BFC"/>
    <w:rsid w:val="00046E45"/>
    <w:rsid w:val="00052CAE"/>
    <w:rsid w:val="00071C8F"/>
    <w:rsid w:val="000814C7"/>
    <w:rsid w:val="00091E01"/>
    <w:rsid w:val="000A418D"/>
    <w:rsid w:val="000C1A2F"/>
    <w:rsid w:val="000C1B6C"/>
    <w:rsid w:val="000C2B78"/>
    <w:rsid w:val="000D6D7F"/>
    <w:rsid w:val="000E4B16"/>
    <w:rsid w:val="000F040B"/>
    <w:rsid w:val="000F64F9"/>
    <w:rsid w:val="00101C87"/>
    <w:rsid w:val="001044DD"/>
    <w:rsid w:val="00105BF1"/>
    <w:rsid w:val="001061BE"/>
    <w:rsid w:val="00113107"/>
    <w:rsid w:val="001312AB"/>
    <w:rsid w:val="001343FE"/>
    <w:rsid w:val="001418F7"/>
    <w:rsid w:val="00156A69"/>
    <w:rsid w:val="0017541F"/>
    <w:rsid w:val="0019151A"/>
    <w:rsid w:val="001C06CE"/>
    <w:rsid w:val="001C5E6E"/>
    <w:rsid w:val="001D1CAB"/>
    <w:rsid w:val="001D5EAE"/>
    <w:rsid w:val="001E44F9"/>
    <w:rsid w:val="002119F7"/>
    <w:rsid w:val="00213985"/>
    <w:rsid w:val="00223A50"/>
    <w:rsid w:val="002260C2"/>
    <w:rsid w:val="0023364E"/>
    <w:rsid w:val="00246220"/>
    <w:rsid w:val="002476C5"/>
    <w:rsid w:val="00260950"/>
    <w:rsid w:val="00262EAB"/>
    <w:rsid w:val="00267070"/>
    <w:rsid w:val="00275AE0"/>
    <w:rsid w:val="002820DA"/>
    <w:rsid w:val="002847CA"/>
    <w:rsid w:val="00284A96"/>
    <w:rsid w:val="00287AAD"/>
    <w:rsid w:val="00295F70"/>
    <w:rsid w:val="002A4C2F"/>
    <w:rsid w:val="002B42FF"/>
    <w:rsid w:val="002B54FB"/>
    <w:rsid w:val="002C135C"/>
    <w:rsid w:val="002C2839"/>
    <w:rsid w:val="002D066A"/>
    <w:rsid w:val="002F3366"/>
    <w:rsid w:val="002F56CD"/>
    <w:rsid w:val="002F787C"/>
    <w:rsid w:val="00301A73"/>
    <w:rsid w:val="003062E6"/>
    <w:rsid w:val="00310B11"/>
    <w:rsid w:val="00314735"/>
    <w:rsid w:val="00351EED"/>
    <w:rsid w:val="00364F44"/>
    <w:rsid w:val="003659BB"/>
    <w:rsid w:val="00375B55"/>
    <w:rsid w:val="0039028C"/>
    <w:rsid w:val="003C6AFD"/>
    <w:rsid w:val="003D0405"/>
    <w:rsid w:val="003D1962"/>
    <w:rsid w:val="003D26C9"/>
    <w:rsid w:val="003D5060"/>
    <w:rsid w:val="003E3F9A"/>
    <w:rsid w:val="00411962"/>
    <w:rsid w:val="0041616F"/>
    <w:rsid w:val="00435D91"/>
    <w:rsid w:val="00444132"/>
    <w:rsid w:val="004513E6"/>
    <w:rsid w:val="00464938"/>
    <w:rsid w:val="00481DCC"/>
    <w:rsid w:val="004909FB"/>
    <w:rsid w:val="00492EEB"/>
    <w:rsid w:val="00493004"/>
    <w:rsid w:val="004A6F5B"/>
    <w:rsid w:val="004B7E62"/>
    <w:rsid w:val="004C69F7"/>
    <w:rsid w:val="004D0908"/>
    <w:rsid w:val="004D194E"/>
    <w:rsid w:val="004D2436"/>
    <w:rsid w:val="004D33B6"/>
    <w:rsid w:val="004D4E6B"/>
    <w:rsid w:val="004E7FBC"/>
    <w:rsid w:val="004F1826"/>
    <w:rsid w:val="00502F86"/>
    <w:rsid w:val="00510740"/>
    <w:rsid w:val="00511B3F"/>
    <w:rsid w:val="00531284"/>
    <w:rsid w:val="00534780"/>
    <w:rsid w:val="005406D8"/>
    <w:rsid w:val="00540ACA"/>
    <w:rsid w:val="005479CF"/>
    <w:rsid w:val="00554FFA"/>
    <w:rsid w:val="00561F45"/>
    <w:rsid w:val="00562B71"/>
    <w:rsid w:val="00562C6C"/>
    <w:rsid w:val="00576D7A"/>
    <w:rsid w:val="00582948"/>
    <w:rsid w:val="00582F8B"/>
    <w:rsid w:val="005871FB"/>
    <w:rsid w:val="00591F8F"/>
    <w:rsid w:val="00593224"/>
    <w:rsid w:val="0059536B"/>
    <w:rsid w:val="005A3E3A"/>
    <w:rsid w:val="005B2D50"/>
    <w:rsid w:val="005B7B25"/>
    <w:rsid w:val="005C5BD3"/>
    <w:rsid w:val="005D53AC"/>
    <w:rsid w:val="005D5509"/>
    <w:rsid w:val="005E4C20"/>
    <w:rsid w:val="005F030C"/>
    <w:rsid w:val="005F7D42"/>
    <w:rsid w:val="00600EC0"/>
    <w:rsid w:val="006122B0"/>
    <w:rsid w:val="00631D82"/>
    <w:rsid w:val="00634254"/>
    <w:rsid w:val="00635A1F"/>
    <w:rsid w:val="00637AFC"/>
    <w:rsid w:val="0065360A"/>
    <w:rsid w:val="006720C4"/>
    <w:rsid w:val="00681104"/>
    <w:rsid w:val="00697EEF"/>
    <w:rsid w:val="006A16B5"/>
    <w:rsid w:val="006B5D1B"/>
    <w:rsid w:val="006D7110"/>
    <w:rsid w:val="006E211D"/>
    <w:rsid w:val="006E4F21"/>
    <w:rsid w:val="006E66FC"/>
    <w:rsid w:val="006F377C"/>
    <w:rsid w:val="006F7513"/>
    <w:rsid w:val="00711B73"/>
    <w:rsid w:val="00720094"/>
    <w:rsid w:val="0072313D"/>
    <w:rsid w:val="007274A1"/>
    <w:rsid w:val="00741DC5"/>
    <w:rsid w:val="0075499B"/>
    <w:rsid w:val="00762FF1"/>
    <w:rsid w:val="00784CDC"/>
    <w:rsid w:val="007879D3"/>
    <w:rsid w:val="0079273B"/>
    <w:rsid w:val="007940C4"/>
    <w:rsid w:val="00794FFD"/>
    <w:rsid w:val="0079711D"/>
    <w:rsid w:val="007C16DC"/>
    <w:rsid w:val="007C16E5"/>
    <w:rsid w:val="007D2AEE"/>
    <w:rsid w:val="007D397A"/>
    <w:rsid w:val="007E04AB"/>
    <w:rsid w:val="007E1C62"/>
    <w:rsid w:val="007E1D22"/>
    <w:rsid w:val="007E36BF"/>
    <w:rsid w:val="007E5EE9"/>
    <w:rsid w:val="007E75D1"/>
    <w:rsid w:val="0080641D"/>
    <w:rsid w:val="00817685"/>
    <w:rsid w:val="00821C49"/>
    <w:rsid w:val="00830118"/>
    <w:rsid w:val="00837461"/>
    <w:rsid w:val="0084455C"/>
    <w:rsid w:val="008538B8"/>
    <w:rsid w:val="00854C33"/>
    <w:rsid w:val="00880E82"/>
    <w:rsid w:val="008A73F0"/>
    <w:rsid w:val="008B02A1"/>
    <w:rsid w:val="008B2179"/>
    <w:rsid w:val="008B3B7E"/>
    <w:rsid w:val="008B5A3D"/>
    <w:rsid w:val="008C0038"/>
    <w:rsid w:val="008C5996"/>
    <w:rsid w:val="008E1ACC"/>
    <w:rsid w:val="008F62BD"/>
    <w:rsid w:val="008F7E8B"/>
    <w:rsid w:val="00930E84"/>
    <w:rsid w:val="009360C6"/>
    <w:rsid w:val="00954867"/>
    <w:rsid w:val="009643FD"/>
    <w:rsid w:val="00964405"/>
    <w:rsid w:val="009718AC"/>
    <w:rsid w:val="0097560B"/>
    <w:rsid w:val="0098050D"/>
    <w:rsid w:val="00980A85"/>
    <w:rsid w:val="00993041"/>
    <w:rsid w:val="00995378"/>
    <w:rsid w:val="00996516"/>
    <w:rsid w:val="009A12D7"/>
    <w:rsid w:val="009A30E8"/>
    <w:rsid w:val="009A40FF"/>
    <w:rsid w:val="009A5544"/>
    <w:rsid w:val="009A5738"/>
    <w:rsid w:val="009A6BBE"/>
    <w:rsid w:val="009B08A7"/>
    <w:rsid w:val="009D2E57"/>
    <w:rsid w:val="009D532D"/>
    <w:rsid w:val="009F0DE6"/>
    <w:rsid w:val="009F1A7A"/>
    <w:rsid w:val="00A01A7A"/>
    <w:rsid w:val="00A2684A"/>
    <w:rsid w:val="00A3490B"/>
    <w:rsid w:val="00A56885"/>
    <w:rsid w:val="00A57E09"/>
    <w:rsid w:val="00A62CC7"/>
    <w:rsid w:val="00A659FD"/>
    <w:rsid w:val="00A701D1"/>
    <w:rsid w:val="00A7113B"/>
    <w:rsid w:val="00A7155B"/>
    <w:rsid w:val="00A94B6D"/>
    <w:rsid w:val="00A94DF8"/>
    <w:rsid w:val="00A9584D"/>
    <w:rsid w:val="00AA763A"/>
    <w:rsid w:val="00AB4E68"/>
    <w:rsid w:val="00AD05A8"/>
    <w:rsid w:val="00AD4D24"/>
    <w:rsid w:val="00AD5DCC"/>
    <w:rsid w:val="00AD683D"/>
    <w:rsid w:val="00AE1ABC"/>
    <w:rsid w:val="00AE2EDC"/>
    <w:rsid w:val="00AE7932"/>
    <w:rsid w:val="00AF138B"/>
    <w:rsid w:val="00AF2017"/>
    <w:rsid w:val="00B04F3A"/>
    <w:rsid w:val="00B12433"/>
    <w:rsid w:val="00B16AF6"/>
    <w:rsid w:val="00B24F63"/>
    <w:rsid w:val="00B25B42"/>
    <w:rsid w:val="00B27062"/>
    <w:rsid w:val="00B33768"/>
    <w:rsid w:val="00B44CE0"/>
    <w:rsid w:val="00B47835"/>
    <w:rsid w:val="00B5320B"/>
    <w:rsid w:val="00B57123"/>
    <w:rsid w:val="00B722DF"/>
    <w:rsid w:val="00B7570B"/>
    <w:rsid w:val="00B80A5D"/>
    <w:rsid w:val="00BA4F6D"/>
    <w:rsid w:val="00BC1661"/>
    <w:rsid w:val="00BC203A"/>
    <w:rsid w:val="00BC3344"/>
    <w:rsid w:val="00BC33D6"/>
    <w:rsid w:val="00BC3B84"/>
    <w:rsid w:val="00BC6DD7"/>
    <w:rsid w:val="00BD5283"/>
    <w:rsid w:val="00C076AF"/>
    <w:rsid w:val="00C164DA"/>
    <w:rsid w:val="00C16998"/>
    <w:rsid w:val="00C26026"/>
    <w:rsid w:val="00C3040F"/>
    <w:rsid w:val="00C30825"/>
    <w:rsid w:val="00C53411"/>
    <w:rsid w:val="00C53D6E"/>
    <w:rsid w:val="00C82D39"/>
    <w:rsid w:val="00C836E3"/>
    <w:rsid w:val="00C94490"/>
    <w:rsid w:val="00C962A0"/>
    <w:rsid w:val="00C968C1"/>
    <w:rsid w:val="00CA3F11"/>
    <w:rsid w:val="00CA44C5"/>
    <w:rsid w:val="00CC1A14"/>
    <w:rsid w:val="00CC6204"/>
    <w:rsid w:val="00CD7662"/>
    <w:rsid w:val="00CE0EDC"/>
    <w:rsid w:val="00D01807"/>
    <w:rsid w:val="00D157D7"/>
    <w:rsid w:val="00D2799C"/>
    <w:rsid w:val="00D739ED"/>
    <w:rsid w:val="00D83732"/>
    <w:rsid w:val="00D97CC8"/>
    <w:rsid w:val="00DA3C9B"/>
    <w:rsid w:val="00DB1C63"/>
    <w:rsid w:val="00DB77A6"/>
    <w:rsid w:val="00DC595C"/>
    <w:rsid w:val="00DD5F54"/>
    <w:rsid w:val="00DE3252"/>
    <w:rsid w:val="00DE40E5"/>
    <w:rsid w:val="00E02306"/>
    <w:rsid w:val="00E0711A"/>
    <w:rsid w:val="00E106EB"/>
    <w:rsid w:val="00E26790"/>
    <w:rsid w:val="00E26F9A"/>
    <w:rsid w:val="00E27A90"/>
    <w:rsid w:val="00E35BBE"/>
    <w:rsid w:val="00E367E4"/>
    <w:rsid w:val="00E37D19"/>
    <w:rsid w:val="00E64D30"/>
    <w:rsid w:val="00E659EF"/>
    <w:rsid w:val="00E7391F"/>
    <w:rsid w:val="00E74544"/>
    <w:rsid w:val="00E75553"/>
    <w:rsid w:val="00E814DA"/>
    <w:rsid w:val="00E816B1"/>
    <w:rsid w:val="00E9063E"/>
    <w:rsid w:val="00E9613D"/>
    <w:rsid w:val="00EA50DF"/>
    <w:rsid w:val="00EA685E"/>
    <w:rsid w:val="00EB7021"/>
    <w:rsid w:val="00EC11EF"/>
    <w:rsid w:val="00EC1EBE"/>
    <w:rsid w:val="00EF30DC"/>
    <w:rsid w:val="00F2038B"/>
    <w:rsid w:val="00F36D0F"/>
    <w:rsid w:val="00F41943"/>
    <w:rsid w:val="00F42A47"/>
    <w:rsid w:val="00F450A6"/>
    <w:rsid w:val="00F51607"/>
    <w:rsid w:val="00F5730D"/>
    <w:rsid w:val="00F80CAD"/>
    <w:rsid w:val="00F83461"/>
    <w:rsid w:val="00F87B3A"/>
    <w:rsid w:val="00F91E13"/>
    <w:rsid w:val="00F94B71"/>
    <w:rsid w:val="00F95EF4"/>
    <w:rsid w:val="00F96372"/>
    <w:rsid w:val="00FA4F74"/>
    <w:rsid w:val="00FA6118"/>
    <w:rsid w:val="00FB164E"/>
    <w:rsid w:val="00FC0800"/>
    <w:rsid w:val="00FC279C"/>
    <w:rsid w:val="00FC74C2"/>
    <w:rsid w:val="00FE29E7"/>
    <w:rsid w:val="00FE3A3C"/>
    <w:rsid w:val="00FE743A"/>
    <w:rsid w:val="00FF48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464614-EDFA-4C70-AF90-5FE8E8452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4">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BC6DD7"/>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A94DF8"/>
    <w:pPr>
      <w:keepNext/>
      <w:keepLines/>
      <w:spacing w:before="20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3344"/>
    <w:rPr>
      <w:color w:val="0068A7"/>
      <w:sz w:val="23"/>
      <w:szCs w:val="23"/>
      <w:u w:val="single"/>
      <w:shd w:val="clear" w:color="auto" w:fill="auto"/>
    </w:rPr>
  </w:style>
  <w:style w:type="paragraph" w:styleId="NormalWeb">
    <w:name w:val="Normal (Web)"/>
    <w:basedOn w:val="Normal"/>
    <w:uiPriority w:val="99"/>
    <w:unhideWhenUsed/>
    <w:rsid w:val="00631D82"/>
    <w:pPr>
      <w:spacing w:after="384"/>
    </w:pPr>
    <w:rPr>
      <w:rFonts w:ascii="Times New Roman" w:eastAsia="Times New Roman" w:hAnsi="Times New Roman"/>
      <w:sz w:val="24"/>
      <w:szCs w:val="24"/>
      <w:lang w:eastAsia="en-AU"/>
    </w:rPr>
  </w:style>
  <w:style w:type="paragraph" w:styleId="ListParagraph">
    <w:name w:val="List Paragraph"/>
    <w:basedOn w:val="Normal"/>
    <w:uiPriority w:val="34"/>
    <w:rsid w:val="000309B2"/>
    <w:pPr>
      <w:ind w:left="720"/>
      <w:contextualSpacing/>
    </w:pPr>
  </w:style>
  <w:style w:type="paragraph" w:customStyle="1" w:styleId="Default">
    <w:name w:val="Default"/>
    <w:rsid w:val="00275AE0"/>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EC11EF"/>
    <w:pPr>
      <w:keepLines/>
      <w:spacing w:after="0" w:line="259" w:lineRule="auto"/>
      <w:outlineLvl w:val="9"/>
    </w:pPr>
    <w:rPr>
      <w:rFonts w:asciiTheme="majorHAnsi" w:hAnsiTheme="majorHAnsi"/>
      <w:b w:val="0"/>
      <w:bCs w:val="0"/>
      <w:color w:val="365F91" w:themeColor="accent1" w:themeShade="BF"/>
      <w:kern w:val="0"/>
      <w:sz w:val="32"/>
      <w:lang w:val="en-US"/>
    </w:rPr>
  </w:style>
  <w:style w:type="paragraph" w:styleId="TOC2">
    <w:name w:val="toc 2"/>
    <w:basedOn w:val="Normal"/>
    <w:next w:val="Normal"/>
    <w:autoRedefine/>
    <w:uiPriority w:val="39"/>
    <w:unhideWhenUsed/>
    <w:rsid w:val="00EC11EF"/>
    <w:pPr>
      <w:spacing w:after="100"/>
      <w:ind w:left="220"/>
    </w:pPr>
  </w:style>
  <w:style w:type="paragraph" w:styleId="TOC1">
    <w:name w:val="toc 1"/>
    <w:basedOn w:val="Normal"/>
    <w:next w:val="Normal"/>
    <w:autoRedefine/>
    <w:uiPriority w:val="39"/>
    <w:unhideWhenUsed/>
    <w:rsid w:val="00EC11EF"/>
    <w:pPr>
      <w:spacing w:after="100"/>
    </w:pPr>
  </w:style>
  <w:style w:type="paragraph" w:styleId="TOC3">
    <w:name w:val="toc 3"/>
    <w:basedOn w:val="Normal"/>
    <w:next w:val="Normal"/>
    <w:autoRedefine/>
    <w:uiPriority w:val="39"/>
    <w:unhideWhenUsed/>
    <w:rsid w:val="00EC11EF"/>
    <w:pPr>
      <w:spacing w:after="100"/>
      <w:ind w:left="440"/>
    </w:pPr>
  </w:style>
  <w:style w:type="paragraph" w:styleId="TOC4">
    <w:name w:val="toc 4"/>
    <w:basedOn w:val="Normal"/>
    <w:next w:val="Normal"/>
    <w:autoRedefine/>
    <w:uiPriority w:val="39"/>
    <w:unhideWhenUsed/>
    <w:rsid w:val="00EC11EF"/>
    <w:pPr>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EC11EF"/>
    <w:pPr>
      <w:spacing w:after="100" w:line="259"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EC11EF"/>
    <w:pPr>
      <w:spacing w:after="100" w:line="259"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EC11EF"/>
    <w:pPr>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EC11EF"/>
    <w:pPr>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EC11EF"/>
    <w:pPr>
      <w:spacing w:after="100" w:line="259" w:lineRule="auto"/>
      <w:ind w:left="1760"/>
    </w:pPr>
    <w:rPr>
      <w:rFonts w:asciiTheme="minorHAnsi" w:eastAsiaTheme="minorEastAsia" w:hAnsiTheme="minorHAnsi" w:cstheme="minorBid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698005">
      <w:bodyDiv w:val="1"/>
      <w:marLeft w:val="0"/>
      <w:marRight w:val="0"/>
      <w:marTop w:val="0"/>
      <w:marBottom w:val="0"/>
      <w:divBdr>
        <w:top w:val="none" w:sz="0" w:space="0" w:color="auto"/>
        <w:left w:val="none" w:sz="0" w:space="0" w:color="auto"/>
        <w:bottom w:val="none" w:sz="0" w:space="0" w:color="auto"/>
        <w:right w:val="none" w:sz="0" w:space="0" w:color="auto"/>
      </w:divBdr>
    </w:div>
    <w:div w:id="423386002">
      <w:bodyDiv w:val="1"/>
      <w:marLeft w:val="0"/>
      <w:marRight w:val="0"/>
      <w:marTop w:val="0"/>
      <w:marBottom w:val="0"/>
      <w:divBdr>
        <w:top w:val="none" w:sz="0" w:space="0" w:color="auto"/>
        <w:left w:val="none" w:sz="0" w:space="0" w:color="auto"/>
        <w:bottom w:val="none" w:sz="0" w:space="0" w:color="auto"/>
        <w:right w:val="none" w:sz="0" w:space="0" w:color="auto"/>
      </w:divBdr>
      <w:divsChild>
        <w:div w:id="1393232594">
          <w:marLeft w:val="0"/>
          <w:marRight w:val="0"/>
          <w:marTop w:val="0"/>
          <w:marBottom w:val="0"/>
          <w:divBdr>
            <w:top w:val="none" w:sz="0" w:space="0" w:color="auto"/>
            <w:left w:val="none" w:sz="0" w:space="0" w:color="auto"/>
            <w:bottom w:val="none" w:sz="0" w:space="0" w:color="auto"/>
            <w:right w:val="none" w:sz="0" w:space="0" w:color="auto"/>
          </w:divBdr>
          <w:divsChild>
            <w:div w:id="1952861368">
              <w:marLeft w:val="0"/>
              <w:marRight w:val="0"/>
              <w:marTop w:val="0"/>
              <w:marBottom w:val="0"/>
              <w:divBdr>
                <w:top w:val="none" w:sz="0" w:space="0" w:color="auto"/>
                <w:left w:val="none" w:sz="0" w:space="0" w:color="auto"/>
                <w:bottom w:val="none" w:sz="0" w:space="0" w:color="auto"/>
                <w:right w:val="none" w:sz="0" w:space="0" w:color="auto"/>
              </w:divBdr>
              <w:divsChild>
                <w:div w:id="16780302">
                  <w:marLeft w:val="0"/>
                  <w:marRight w:val="0"/>
                  <w:marTop w:val="0"/>
                  <w:marBottom w:val="0"/>
                  <w:divBdr>
                    <w:top w:val="none" w:sz="0" w:space="0" w:color="auto"/>
                    <w:left w:val="none" w:sz="0" w:space="0" w:color="auto"/>
                    <w:bottom w:val="none" w:sz="0" w:space="0" w:color="auto"/>
                    <w:right w:val="none" w:sz="0" w:space="0" w:color="auto"/>
                  </w:divBdr>
                  <w:divsChild>
                    <w:div w:id="1561095082">
                      <w:marLeft w:val="0"/>
                      <w:marRight w:val="0"/>
                      <w:marTop w:val="0"/>
                      <w:marBottom w:val="0"/>
                      <w:divBdr>
                        <w:top w:val="none" w:sz="0" w:space="0" w:color="auto"/>
                        <w:left w:val="none" w:sz="0" w:space="0" w:color="auto"/>
                        <w:bottom w:val="none" w:sz="0" w:space="0" w:color="auto"/>
                        <w:right w:val="none" w:sz="0" w:space="0" w:color="auto"/>
                      </w:divBdr>
                      <w:divsChild>
                        <w:div w:id="1439830980">
                          <w:marLeft w:val="0"/>
                          <w:marRight w:val="0"/>
                          <w:marTop w:val="0"/>
                          <w:marBottom w:val="675"/>
                          <w:divBdr>
                            <w:top w:val="none" w:sz="0" w:space="0" w:color="auto"/>
                            <w:left w:val="none" w:sz="0" w:space="0" w:color="auto"/>
                            <w:bottom w:val="none" w:sz="0" w:space="0" w:color="auto"/>
                            <w:right w:val="none" w:sz="0" w:space="0" w:color="auto"/>
                          </w:divBdr>
                          <w:divsChild>
                            <w:div w:id="2059746424">
                              <w:marLeft w:val="0"/>
                              <w:marRight w:val="0"/>
                              <w:marTop w:val="0"/>
                              <w:marBottom w:val="0"/>
                              <w:divBdr>
                                <w:top w:val="none" w:sz="0" w:space="0" w:color="auto"/>
                                <w:left w:val="none" w:sz="0" w:space="0" w:color="auto"/>
                                <w:bottom w:val="none" w:sz="0" w:space="0" w:color="auto"/>
                                <w:right w:val="none" w:sz="0" w:space="0" w:color="auto"/>
                              </w:divBdr>
                            </w:div>
                            <w:div w:id="1660621491">
                              <w:marLeft w:val="0"/>
                              <w:marRight w:val="0"/>
                              <w:marTop w:val="0"/>
                              <w:marBottom w:val="0"/>
                              <w:divBdr>
                                <w:top w:val="none" w:sz="0" w:space="0" w:color="auto"/>
                                <w:left w:val="none" w:sz="0" w:space="0" w:color="auto"/>
                                <w:bottom w:val="none" w:sz="0" w:space="0" w:color="auto"/>
                                <w:right w:val="none" w:sz="0" w:space="0" w:color="auto"/>
                              </w:divBdr>
                            </w:div>
                            <w:div w:id="171010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526155">
      <w:bodyDiv w:val="1"/>
      <w:marLeft w:val="0"/>
      <w:marRight w:val="0"/>
      <w:marTop w:val="0"/>
      <w:marBottom w:val="0"/>
      <w:divBdr>
        <w:top w:val="none" w:sz="0" w:space="0" w:color="auto"/>
        <w:left w:val="none" w:sz="0" w:space="0" w:color="auto"/>
        <w:bottom w:val="none" w:sz="0" w:space="0" w:color="auto"/>
        <w:right w:val="none" w:sz="0" w:space="0" w:color="auto"/>
      </w:divBdr>
    </w:div>
    <w:div w:id="1262641195">
      <w:bodyDiv w:val="1"/>
      <w:marLeft w:val="0"/>
      <w:marRight w:val="0"/>
      <w:marTop w:val="0"/>
      <w:marBottom w:val="0"/>
      <w:divBdr>
        <w:top w:val="none" w:sz="0" w:space="0" w:color="auto"/>
        <w:left w:val="none" w:sz="0" w:space="0" w:color="auto"/>
        <w:bottom w:val="none" w:sz="0" w:space="0" w:color="auto"/>
        <w:right w:val="none" w:sz="0" w:space="0" w:color="auto"/>
      </w:divBdr>
    </w:div>
    <w:div w:id="1788113322">
      <w:bodyDiv w:val="1"/>
      <w:marLeft w:val="0"/>
      <w:marRight w:val="0"/>
      <w:marTop w:val="0"/>
      <w:marBottom w:val="0"/>
      <w:divBdr>
        <w:top w:val="none" w:sz="0" w:space="0" w:color="auto"/>
        <w:left w:val="none" w:sz="0" w:space="0" w:color="auto"/>
        <w:bottom w:val="none" w:sz="0" w:space="0" w:color="auto"/>
        <w:right w:val="none" w:sz="0" w:space="0" w:color="auto"/>
      </w:divBdr>
      <w:divsChild>
        <w:div w:id="252055749">
          <w:marLeft w:val="0"/>
          <w:marRight w:val="0"/>
          <w:marTop w:val="0"/>
          <w:marBottom w:val="0"/>
          <w:divBdr>
            <w:top w:val="none" w:sz="0" w:space="0" w:color="auto"/>
            <w:left w:val="none" w:sz="0" w:space="0" w:color="auto"/>
            <w:bottom w:val="none" w:sz="0" w:space="0" w:color="auto"/>
            <w:right w:val="none" w:sz="0" w:space="0" w:color="auto"/>
          </w:divBdr>
          <w:divsChild>
            <w:div w:id="273563659">
              <w:marLeft w:val="0"/>
              <w:marRight w:val="0"/>
              <w:marTop w:val="0"/>
              <w:marBottom w:val="0"/>
              <w:divBdr>
                <w:top w:val="none" w:sz="0" w:space="0" w:color="auto"/>
                <w:left w:val="none" w:sz="0" w:space="0" w:color="auto"/>
                <w:bottom w:val="none" w:sz="0" w:space="0" w:color="auto"/>
                <w:right w:val="none" w:sz="0" w:space="0" w:color="auto"/>
              </w:divBdr>
              <w:divsChild>
                <w:div w:id="517280149">
                  <w:marLeft w:val="0"/>
                  <w:marRight w:val="0"/>
                  <w:marTop w:val="0"/>
                  <w:marBottom w:val="0"/>
                  <w:divBdr>
                    <w:top w:val="none" w:sz="0" w:space="0" w:color="auto"/>
                    <w:left w:val="none" w:sz="0" w:space="0" w:color="auto"/>
                    <w:bottom w:val="none" w:sz="0" w:space="0" w:color="auto"/>
                    <w:right w:val="none" w:sz="0" w:space="0" w:color="auto"/>
                  </w:divBdr>
                  <w:divsChild>
                    <w:div w:id="577330410">
                      <w:marLeft w:val="0"/>
                      <w:marRight w:val="0"/>
                      <w:marTop w:val="0"/>
                      <w:marBottom w:val="0"/>
                      <w:divBdr>
                        <w:top w:val="none" w:sz="0" w:space="0" w:color="auto"/>
                        <w:left w:val="none" w:sz="0" w:space="0" w:color="auto"/>
                        <w:bottom w:val="none" w:sz="0" w:space="0" w:color="auto"/>
                        <w:right w:val="none" w:sz="0" w:space="0" w:color="auto"/>
                      </w:divBdr>
                      <w:divsChild>
                        <w:div w:id="157382135">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sChild>
            </w:div>
          </w:divsChild>
        </w:div>
      </w:divsChild>
    </w:div>
    <w:div w:id="185456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hyperlink" Target="http://www.land.vic.gov.au/valuation"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hart" Target="charts/chart1.xml"/><Relationship Id="rId25" Type="http://schemas.openxmlformats.org/officeDocument/2006/relationships/hyperlink" Target="http://www.google.com.au/url?url=http://logodatabases.com/youtube-logo.html/youtube-logo-square&amp;rct=j&amp;frm=1&amp;q=&amp;esrc=s&amp;sa=U&amp;ei=-QK-U7qoL4yNkwXHpoCYDg&amp;ved=0CDoQ9QEwEg&amp;sig2=FOL730Mz9y3iN2aYgVsykA&amp;usg=AFQjCNFTU__ZOpDQ9IP-xQuTyNCEZFfxQg" TargetMode="External"/><Relationship Id="rId33"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www.google.com.au/url?url=http://ztona.org/facebook-logo-image/&amp;rct=j&amp;frm=1&amp;q=&amp;esrc=s&amp;sa=U&amp;ei=IAO-U8y4IIGXkQXDt4CYDA&amp;ved=0CBoQ9QEwAg&amp;sig2=dl5CSnwoVP0J-xbwWEtWOg&amp;usg=AFQjCNEJmnmiCf-FZEId-dK4VC9F934jLQ" TargetMode="External"/><Relationship Id="rId29" Type="http://schemas.openxmlformats.org/officeDocument/2006/relationships/hyperlink" Target="http://www.youtube.com/CityofMaroonda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5.jpe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www.google.com.au/url?url=http://savvybookwriters.wordpress.com/2014/04/10/pay-with-a-tweet-and-how-it-works/&amp;rct=j&amp;frm=1&amp;q=&amp;esrc=s&amp;sa=U&amp;ei=kQK-U8XsCcWlkQXjm4GoCQ&amp;ved=0CCQQ9QEwBw&amp;sig2=jfnKAlMLImi140pywH6Itg&amp;usg=AFQjCNE-cyxRzam4iVuILGuDb4fTt9fziQ" TargetMode="External"/><Relationship Id="rId28" Type="http://schemas.openxmlformats.org/officeDocument/2006/relationships/hyperlink" Target="http://www.facebook.com/MaroondahCityCouncil" TargetMode="External"/><Relationship Id="rId10" Type="http://schemas.openxmlformats.org/officeDocument/2006/relationships/image" Target="media/image2.png"/><Relationship Id="rId19" Type="http://schemas.openxmlformats.org/officeDocument/2006/relationships/image" Target="media/image3.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diagramQuickStyle" Target="diagrams/quickStyle1.xml"/><Relationship Id="rId22" Type="http://schemas.openxmlformats.org/officeDocument/2006/relationships/hyperlink" Target="http://www.facebook.com/MaroondahCityCouncil" TargetMode="External"/><Relationship Id="rId27" Type="http://schemas.openxmlformats.org/officeDocument/2006/relationships/hyperlink" Target="http://www.youtube.com/CityofMaroondah"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2017/2018</a:t>
            </a:r>
            <a:r>
              <a:rPr lang="en-US" baseline="0"/>
              <a:t> </a:t>
            </a:r>
            <a:r>
              <a:rPr lang="en-US"/>
              <a:t>% rates of total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68"/>
      <c:depthPercent val="100"/>
      <c:rAngAx val="0"/>
      <c:perspective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6798528058877645E-3"/>
          <c:y val="0.1226161369193154"/>
          <c:w val="0.97976080956761724"/>
          <c:h val="0.7390402299957004"/>
        </c:manualLayout>
      </c:layout>
      <c:pie3DChart>
        <c:varyColors val="1"/>
        <c:ser>
          <c:idx val="0"/>
          <c:order val="0"/>
          <c:explosion val="4"/>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1F5-4C2D-86D5-5CBDBB7CE62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1F5-4C2D-86D5-5CBDBB7CE62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1F5-4C2D-86D5-5CBDBB7CE628}"/>
              </c:ext>
            </c:extLst>
          </c:dPt>
          <c:cat>
            <c:strRef>
              <c:f>(Sheet1!$A$2,Sheet1!$A$4,Sheet1!$A$6)</c:f>
              <c:strCache>
                <c:ptCount val="3"/>
                <c:pt idx="0">
                  <c:v>        General Rate </c:v>
                </c:pt>
                <c:pt idx="1">
                  <c:v>        Vacant Land </c:v>
                </c:pt>
                <c:pt idx="2">
                  <c:v>   Cultural &amp; Recreational Lands Act </c:v>
                </c:pt>
              </c:strCache>
            </c:strRef>
          </c:cat>
          <c:val>
            <c:numRef>
              <c:f>(Sheet1!$E$2,Sheet1!$E$4,Sheet1!$E$6)</c:f>
              <c:numCache>
                <c:formatCode>0%</c:formatCode>
                <c:ptCount val="3"/>
                <c:pt idx="0" formatCode="0.00%">
                  <c:v>0.98970000000000002</c:v>
                </c:pt>
                <c:pt idx="1">
                  <c:v>0.01</c:v>
                </c:pt>
                <c:pt idx="2" formatCode="0.00%">
                  <c:v>2.9999999999999997E-4</c:v>
                </c:pt>
              </c:numCache>
            </c:numRef>
          </c:val>
          <c:extLst>
            <c:ext xmlns:c16="http://schemas.microsoft.com/office/drawing/2014/chart" uri="{C3380CC4-5D6E-409C-BE32-E72D297353CC}">
              <c16:uniqueId val="{00000006-81F5-4C2D-86D5-5CBDBB7CE628}"/>
            </c:ext>
          </c:extLst>
        </c:ser>
        <c:dLbls>
          <c:showLegendKey val="0"/>
          <c:showVal val="0"/>
          <c:showCatName val="0"/>
          <c:showSerName val="0"/>
          <c:showPercent val="0"/>
          <c:showBubbleSize val="0"/>
          <c:showLeaderLines val="1"/>
        </c:dLbls>
      </c:pie3DChart>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05"/>
          <c:y val="0.84780037911927675"/>
          <c:w val="0.9"/>
          <c:h val="0.124421843102945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4F92D0-6CB2-4CAE-84AC-704C8B982850}" type="doc">
      <dgm:prSet loTypeId="urn:microsoft.com/office/officeart/2005/8/layout/radial5" loCatId="cycle" qsTypeId="urn:microsoft.com/office/officeart/2005/8/quickstyle/simple1" qsCatId="simple" csTypeId="urn:microsoft.com/office/officeart/2005/8/colors/colorful1#2" csCatId="colorful" phldr="1"/>
      <dgm:spPr/>
      <dgm:t>
        <a:bodyPr/>
        <a:lstStyle/>
        <a:p>
          <a:endParaRPr lang="en-AU"/>
        </a:p>
      </dgm:t>
    </dgm:pt>
    <dgm:pt modelId="{F2D397DE-D926-434A-9A30-A210ECDBF2CD}">
      <dgm:prSet phldrT="[Text]"/>
      <dgm:spPr/>
      <dgm:t>
        <a:bodyPr/>
        <a:lstStyle/>
        <a:p>
          <a:r>
            <a:rPr lang="en-AU"/>
            <a:t>Rating Strategy</a:t>
          </a:r>
        </a:p>
      </dgm:t>
    </dgm:pt>
    <dgm:pt modelId="{32A3679B-7AEB-4D1E-8321-B18DACDD8ED6}" type="parTrans" cxnId="{AC18131E-7613-49FF-A49F-128BEC0A551C}">
      <dgm:prSet/>
      <dgm:spPr/>
      <dgm:t>
        <a:bodyPr/>
        <a:lstStyle/>
        <a:p>
          <a:endParaRPr lang="en-AU"/>
        </a:p>
      </dgm:t>
    </dgm:pt>
    <dgm:pt modelId="{96A9D9DC-9B19-41B4-8F9F-CB311AE12994}" type="sibTrans" cxnId="{AC18131E-7613-49FF-A49F-128BEC0A551C}">
      <dgm:prSet/>
      <dgm:spPr/>
      <dgm:t>
        <a:bodyPr/>
        <a:lstStyle/>
        <a:p>
          <a:endParaRPr lang="en-AU"/>
        </a:p>
      </dgm:t>
    </dgm:pt>
    <dgm:pt modelId="{BD5587E8-9102-418D-AC62-2CA17C080EC2}">
      <dgm:prSet phldrT="[Text]" custT="1"/>
      <dgm:spPr/>
      <dgm:t>
        <a:bodyPr/>
        <a:lstStyle/>
        <a:p>
          <a:r>
            <a:rPr lang="en-AU" sz="2000"/>
            <a:t>Equitable</a:t>
          </a:r>
        </a:p>
        <a:p>
          <a:r>
            <a:rPr lang="en-AU" sz="1000"/>
            <a:t>Distribution of a fair and just rate system</a:t>
          </a:r>
        </a:p>
      </dgm:t>
    </dgm:pt>
    <dgm:pt modelId="{D3EB23A0-07BE-4F72-991D-D393D85CF168}" type="parTrans" cxnId="{8922C210-0B6D-4379-AF51-AE962291C288}">
      <dgm:prSet/>
      <dgm:spPr/>
      <dgm:t>
        <a:bodyPr/>
        <a:lstStyle/>
        <a:p>
          <a:endParaRPr lang="en-AU"/>
        </a:p>
      </dgm:t>
    </dgm:pt>
    <dgm:pt modelId="{778EAD54-0535-41A3-B211-4AD67403154F}" type="sibTrans" cxnId="{8922C210-0B6D-4379-AF51-AE962291C288}">
      <dgm:prSet/>
      <dgm:spPr/>
      <dgm:t>
        <a:bodyPr/>
        <a:lstStyle/>
        <a:p>
          <a:endParaRPr lang="en-AU"/>
        </a:p>
      </dgm:t>
    </dgm:pt>
    <dgm:pt modelId="{B8334F8B-7E64-4873-A7B8-9AF3DBFCFDE7}">
      <dgm:prSet phldrT="[Text]" custT="1"/>
      <dgm:spPr/>
      <dgm:t>
        <a:bodyPr/>
        <a:lstStyle/>
        <a:p>
          <a:r>
            <a:rPr lang="en-AU" sz="1800"/>
            <a:t>Transparent</a:t>
          </a:r>
        </a:p>
        <a:p>
          <a:r>
            <a:rPr lang="en-AU" sz="1000"/>
            <a:t>Maroondah City Council's Rating System and its rate collection processes will be easily understood by everyone</a:t>
          </a:r>
        </a:p>
      </dgm:t>
    </dgm:pt>
    <dgm:pt modelId="{A6AAFC24-36FE-4306-A221-EB2237B73824}" type="parTrans" cxnId="{AB822371-039B-4907-A10D-97B27FB0BC2C}">
      <dgm:prSet/>
      <dgm:spPr/>
      <dgm:t>
        <a:bodyPr/>
        <a:lstStyle/>
        <a:p>
          <a:endParaRPr lang="en-AU"/>
        </a:p>
      </dgm:t>
    </dgm:pt>
    <dgm:pt modelId="{C155FA76-F666-40B6-BB04-AE35E2A3B82B}" type="sibTrans" cxnId="{AB822371-039B-4907-A10D-97B27FB0BC2C}">
      <dgm:prSet/>
      <dgm:spPr/>
      <dgm:t>
        <a:bodyPr/>
        <a:lstStyle/>
        <a:p>
          <a:endParaRPr lang="en-AU"/>
        </a:p>
      </dgm:t>
    </dgm:pt>
    <dgm:pt modelId="{D3B00C80-C9E7-4A3A-8A1F-1871E7B7C3D3}">
      <dgm:prSet phldrT="[Text]" custT="1"/>
      <dgm:spPr/>
      <dgm:t>
        <a:bodyPr/>
        <a:lstStyle/>
        <a:p>
          <a:r>
            <a:rPr lang="en-AU" sz="1800"/>
            <a:t>Sustainable</a:t>
          </a:r>
        </a:p>
        <a:p>
          <a:r>
            <a:rPr lang="en-AU" sz="1000"/>
            <a:t>Ensuring resources and rating practices are tenable and sustainable over time </a:t>
          </a:r>
        </a:p>
      </dgm:t>
    </dgm:pt>
    <dgm:pt modelId="{4ACA99BB-C17F-4026-AD91-EBBD1793FFA4}" type="parTrans" cxnId="{923707C4-5296-483E-849A-806FFE7D48C6}">
      <dgm:prSet/>
      <dgm:spPr/>
      <dgm:t>
        <a:bodyPr/>
        <a:lstStyle/>
        <a:p>
          <a:endParaRPr lang="en-AU"/>
        </a:p>
      </dgm:t>
    </dgm:pt>
    <dgm:pt modelId="{B2C8B81D-C4B7-49CB-B2E7-928A17B491A4}" type="sibTrans" cxnId="{923707C4-5296-483E-849A-806FFE7D48C6}">
      <dgm:prSet/>
      <dgm:spPr/>
      <dgm:t>
        <a:bodyPr/>
        <a:lstStyle/>
        <a:p>
          <a:endParaRPr lang="en-AU"/>
        </a:p>
      </dgm:t>
    </dgm:pt>
    <dgm:pt modelId="{2F82D406-4220-4ED9-A0A3-5FAD0FB44D83}" type="pres">
      <dgm:prSet presAssocID="{BB4F92D0-6CB2-4CAE-84AC-704C8B982850}" presName="Name0" presStyleCnt="0">
        <dgm:presLayoutVars>
          <dgm:chMax val="1"/>
          <dgm:dir/>
          <dgm:animLvl val="ctr"/>
          <dgm:resizeHandles val="exact"/>
        </dgm:presLayoutVars>
      </dgm:prSet>
      <dgm:spPr/>
    </dgm:pt>
    <dgm:pt modelId="{CF46BF52-C53D-4E03-8B47-532242C91F07}" type="pres">
      <dgm:prSet presAssocID="{F2D397DE-D926-434A-9A30-A210ECDBF2CD}" presName="centerShape" presStyleLbl="node0" presStyleIdx="0" presStyleCnt="1"/>
      <dgm:spPr/>
    </dgm:pt>
    <dgm:pt modelId="{8DAE7769-CE19-408E-8128-3EA5548E4BA4}" type="pres">
      <dgm:prSet presAssocID="{D3EB23A0-07BE-4F72-991D-D393D85CF168}" presName="parTrans" presStyleLbl="sibTrans2D1" presStyleIdx="0" presStyleCnt="3"/>
      <dgm:spPr/>
    </dgm:pt>
    <dgm:pt modelId="{03AC5E27-0646-4B76-AED2-A37F071E62C4}" type="pres">
      <dgm:prSet presAssocID="{D3EB23A0-07BE-4F72-991D-D393D85CF168}" presName="connectorText" presStyleLbl="sibTrans2D1" presStyleIdx="0" presStyleCnt="3"/>
      <dgm:spPr/>
    </dgm:pt>
    <dgm:pt modelId="{574D26E6-3D83-4DEA-BC49-817A50A17C36}" type="pres">
      <dgm:prSet presAssocID="{BD5587E8-9102-418D-AC62-2CA17C080EC2}" presName="node" presStyleLbl="node1" presStyleIdx="0" presStyleCnt="3">
        <dgm:presLayoutVars>
          <dgm:bulletEnabled val="1"/>
        </dgm:presLayoutVars>
      </dgm:prSet>
      <dgm:spPr/>
    </dgm:pt>
    <dgm:pt modelId="{0E324C73-2180-4F85-9787-BEA5C0DC6083}" type="pres">
      <dgm:prSet presAssocID="{A6AAFC24-36FE-4306-A221-EB2237B73824}" presName="parTrans" presStyleLbl="sibTrans2D1" presStyleIdx="1" presStyleCnt="3"/>
      <dgm:spPr/>
    </dgm:pt>
    <dgm:pt modelId="{F3362189-B508-4047-A608-BD789BBE8140}" type="pres">
      <dgm:prSet presAssocID="{A6AAFC24-36FE-4306-A221-EB2237B73824}" presName="connectorText" presStyleLbl="sibTrans2D1" presStyleIdx="1" presStyleCnt="3"/>
      <dgm:spPr/>
    </dgm:pt>
    <dgm:pt modelId="{A948EC3B-0AC7-44E7-97D2-C709F8E1A022}" type="pres">
      <dgm:prSet presAssocID="{B8334F8B-7E64-4873-A7B8-9AF3DBFCFDE7}" presName="node" presStyleLbl="node1" presStyleIdx="1" presStyleCnt="3">
        <dgm:presLayoutVars>
          <dgm:bulletEnabled val="1"/>
        </dgm:presLayoutVars>
      </dgm:prSet>
      <dgm:spPr/>
    </dgm:pt>
    <dgm:pt modelId="{0EA23E42-6E1B-4744-998D-C2E958CFED7F}" type="pres">
      <dgm:prSet presAssocID="{4ACA99BB-C17F-4026-AD91-EBBD1793FFA4}" presName="parTrans" presStyleLbl="sibTrans2D1" presStyleIdx="2" presStyleCnt="3"/>
      <dgm:spPr/>
    </dgm:pt>
    <dgm:pt modelId="{77492FFD-B268-4275-8914-3312960ED65F}" type="pres">
      <dgm:prSet presAssocID="{4ACA99BB-C17F-4026-AD91-EBBD1793FFA4}" presName="connectorText" presStyleLbl="sibTrans2D1" presStyleIdx="2" presStyleCnt="3"/>
      <dgm:spPr/>
    </dgm:pt>
    <dgm:pt modelId="{BF6C7F18-A51D-4E79-AA2D-D4CC0D2D02B7}" type="pres">
      <dgm:prSet presAssocID="{D3B00C80-C9E7-4A3A-8A1F-1871E7B7C3D3}" presName="node" presStyleLbl="node1" presStyleIdx="2" presStyleCnt="3">
        <dgm:presLayoutVars>
          <dgm:bulletEnabled val="1"/>
        </dgm:presLayoutVars>
      </dgm:prSet>
      <dgm:spPr/>
    </dgm:pt>
  </dgm:ptLst>
  <dgm:cxnLst>
    <dgm:cxn modelId="{826B2F04-FB03-4C19-AD14-14BDA7D1B4DA}" type="presOf" srcId="{B8334F8B-7E64-4873-A7B8-9AF3DBFCFDE7}" destId="{A948EC3B-0AC7-44E7-97D2-C709F8E1A022}" srcOrd="0" destOrd="0" presId="urn:microsoft.com/office/officeart/2005/8/layout/radial5"/>
    <dgm:cxn modelId="{8922C210-0B6D-4379-AF51-AE962291C288}" srcId="{F2D397DE-D926-434A-9A30-A210ECDBF2CD}" destId="{BD5587E8-9102-418D-AC62-2CA17C080EC2}" srcOrd="0" destOrd="0" parTransId="{D3EB23A0-07BE-4F72-991D-D393D85CF168}" sibTransId="{778EAD54-0535-41A3-B211-4AD67403154F}"/>
    <dgm:cxn modelId="{DDC97317-C501-41B5-9C28-72D0E3723237}" type="presOf" srcId="{D3B00C80-C9E7-4A3A-8A1F-1871E7B7C3D3}" destId="{BF6C7F18-A51D-4E79-AA2D-D4CC0D2D02B7}" srcOrd="0" destOrd="0" presId="urn:microsoft.com/office/officeart/2005/8/layout/radial5"/>
    <dgm:cxn modelId="{70C6A51A-7C6B-48E3-AD7D-FA6A6BE7F464}" type="presOf" srcId="{4ACA99BB-C17F-4026-AD91-EBBD1793FFA4}" destId="{0EA23E42-6E1B-4744-998D-C2E958CFED7F}" srcOrd="0" destOrd="0" presId="urn:microsoft.com/office/officeart/2005/8/layout/radial5"/>
    <dgm:cxn modelId="{AC18131E-7613-49FF-A49F-128BEC0A551C}" srcId="{BB4F92D0-6CB2-4CAE-84AC-704C8B982850}" destId="{F2D397DE-D926-434A-9A30-A210ECDBF2CD}" srcOrd="0" destOrd="0" parTransId="{32A3679B-7AEB-4D1E-8321-B18DACDD8ED6}" sibTransId="{96A9D9DC-9B19-41B4-8F9F-CB311AE12994}"/>
    <dgm:cxn modelId="{2E48365C-F60D-4C0B-A53B-A19DDF4CC517}" type="presOf" srcId="{D3EB23A0-07BE-4F72-991D-D393D85CF168}" destId="{03AC5E27-0646-4B76-AED2-A37F071E62C4}" srcOrd="1" destOrd="0" presId="urn:microsoft.com/office/officeart/2005/8/layout/radial5"/>
    <dgm:cxn modelId="{AB822371-039B-4907-A10D-97B27FB0BC2C}" srcId="{F2D397DE-D926-434A-9A30-A210ECDBF2CD}" destId="{B8334F8B-7E64-4873-A7B8-9AF3DBFCFDE7}" srcOrd="1" destOrd="0" parTransId="{A6AAFC24-36FE-4306-A221-EB2237B73824}" sibTransId="{C155FA76-F666-40B6-BB04-AE35E2A3B82B}"/>
    <dgm:cxn modelId="{D4598772-6966-4549-8D36-89D5D76D78BD}" type="presOf" srcId="{BD5587E8-9102-418D-AC62-2CA17C080EC2}" destId="{574D26E6-3D83-4DEA-BC49-817A50A17C36}" srcOrd="0" destOrd="0" presId="urn:microsoft.com/office/officeart/2005/8/layout/radial5"/>
    <dgm:cxn modelId="{0E66607F-C2E2-40DA-9DD9-86B679EAF639}" type="presOf" srcId="{A6AAFC24-36FE-4306-A221-EB2237B73824}" destId="{0E324C73-2180-4F85-9787-BEA5C0DC6083}" srcOrd="0" destOrd="0" presId="urn:microsoft.com/office/officeart/2005/8/layout/radial5"/>
    <dgm:cxn modelId="{0C5134A3-6761-4306-99AD-AE52566A13B0}" type="presOf" srcId="{BB4F92D0-6CB2-4CAE-84AC-704C8B982850}" destId="{2F82D406-4220-4ED9-A0A3-5FAD0FB44D83}" srcOrd="0" destOrd="0" presId="urn:microsoft.com/office/officeart/2005/8/layout/radial5"/>
    <dgm:cxn modelId="{2D5590B8-DB7D-4948-8B4D-D28A8851609C}" type="presOf" srcId="{D3EB23A0-07BE-4F72-991D-D393D85CF168}" destId="{8DAE7769-CE19-408E-8128-3EA5548E4BA4}" srcOrd="0" destOrd="0" presId="urn:microsoft.com/office/officeart/2005/8/layout/radial5"/>
    <dgm:cxn modelId="{923707C4-5296-483E-849A-806FFE7D48C6}" srcId="{F2D397DE-D926-434A-9A30-A210ECDBF2CD}" destId="{D3B00C80-C9E7-4A3A-8A1F-1871E7B7C3D3}" srcOrd="2" destOrd="0" parTransId="{4ACA99BB-C17F-4026-AD91-EBBD1793FFA4}" sibTransId="{B2C8B81D-C4B7-49CB-B2E7-928A17B491A4}"/>
    <dgm:cxn modelId="{184525C4-F613-401D-A565-EF04678F738E}" type="presOf" srcId="{A6AAFC24-36FE-4306-A221-EB2237B73824}" destId="{F3362189-B508-4047-A608-BD789BBE8140}" srcOrd="1" destOrd="0" presId="urn:microsoft.com/office/officeart/2005/8/layout/radial5"/>
    <dgm:cxn modelId="{006B18E3-9EF2-4DA1-BEE2-CCA27469E5D8}" type="presOf" srcId="{4ACA99BB-C17F-4026-AD91-EBBD1793FFA4}" destId="{77492FFD-B268-4275-8914-3312960ED65F}" srcOrd="1" destOrd="0" presId="urn:microsoft.com/office/officeart/2005/8/layout/radial5"/>
    <dgm:cxn modelId="{2982E3F8-A757-419C-9D79-82374E604CDC}" type="presOf" srcId="{F2D397DE-D926-434A-9A30-A210ECDBF2CD}" destId="{CF46BF52-C53D-4E03-8B47-532242C91F07}" srcOrd="0" destOrd="0" presId="urn:microsoft.com/office/officeart/2005/8/layout/radial5"/>
    <dgm:cxn modelId="{EFD5D7FF-43F1-4E66-A893-A4A3F579D2B0}" type="presParOf" srcId="{2F82D406-4220-4ED9-A0A3-5FAD0FB44D83}" destId="{CF46BF52-C53D-4E03-8B47-532242C91F07}" srcOrd="0" destOrd="0" presId="urn:microsoft.com/office/officeart/2005/8/layout/radial5"/>
    <dgm:cxn modelId="{2E7D00ED-ABC7-4D4A-90CF-89DEEBCD1E40}" type="presParOf" srcId="{2F82D406-4220-4ED9-A0A3-5FAD0FB44D83}" destId="{8DAE7769-CE19-408E-8128-3EA5548E4BA4}" srcOrd="1" destOrd="0" presId="urn:microsoft.com/office/officeart/2005/8/layout/radial5"/>
    <dgm:cxn modelId="{040AE37D-CC25-4EC0-A0EB-A727CE65017C}" type="presParOf" srcId="{8DAE7769-CE19-408E-8128-3EA5548E4BA4}" destId="{03AC5E27-0646-4B76-AED2-A37F071E62C4}" srcOrd="0" destOrd="0" presId="urn:microsoft.com/office/officeart/2005/8/layout/radial5"/>
    <dgm:cxn modelId="{00468F68-1896-4D68-B3D8-E6009F835DC4}" type="presParOf" srcId="{2F82D406-4220-4ED9-A0A3-5FAD0FB44D83}" destId="{574D26E6-3D83-4DEA-BC49-817A50A17C36}" srcOrd="2" destOrd="0" presId="urn:microsoft.com/office/officeart/2005/8/layout/radial5"/>
    <dgm:cxn modelId="{C9B3E858-695C-455A-AE05-BFB45AF315B4}" type="presParOf" srcId="{2F82D406-4220-4ED9-A0A3-5FAD0FB44D83}" destId="{0E324C73-2180-4F85-9787-BEA5C0DC6083}" srcOrd="3" destOrd="0" presId="urn:microsoft.com/office/officeart/2005/8/layout/radial5"/>
    <dgm:cxn modelId="{A34B3E45-C4C8-46C9-8E15-0C65C454BD24}" type="presParOf" srcId="{0E324C73-2180-4F85-9787-BEA5C0DC6083}" destId="{F3362189-B508-4047-A608-BD789BBE8140}" srcOrd="0" destOrd="0" presId="urn:microsoft.com/office/officeart/2005/8/layout/radial5"/>
    <dgm:cxn modelId="{90F05D4D-FBED-4682-ACFE-E0F5807F3230}" type="presParOf" srcId="{2F82D406-4220-4ED9-A0A3-5FAD0FB44D83}" destId="{A948EC3B-0AC7-44E7-97D2-C709F8E1A022}" srcOrd="4" destOrd="0" presId="urn:microsoft.com/office/officeart/2005/8/layout/radial5"/>
    <dgm:cxn modelId="{B600C28D-F187-462F-AC6C-3A0CC2833D02}" type="presParOf" srcId="{2F82D406-4220-4ED9-A0A3-5FAD0FB44D83}" destId="{0EA23E42-6E1B-4744-998D-C2E958CFED7F}" srcOrd="5" destOrd="0" presId="urn:microsoft.com/office/officeart/2005/8/layout/radial5"/>
    <dgm:cxn modelId="{363EFEA0-E1AD-4DB3-A177-87568889277E}" type="presParOf" srcId="{0EA23E42-6E1B-4744-998D-C2E958CFED7F}" destId="{77492FFD-B268-4275-8914-3312960ED65F}" srcOrd="0" destOrd="0" presId="urn:microsoft.com/office/officeart/2005/8/layout/radial5"/>
    <dgm:cxn modelId="{169E2338-02F5-46CA-8792-56951C220A0C}" type="presParOf" srcId="{2F82D406-4220-4ED9-A0A3-5FAD0FB44D83}" destId="{BF6C7F18-A51D-4E79-AA2D-D4CC0D2D02B7}" srcOrd="6" destOrd="0" presId="urn:microsoft.com/office/officeart/2005/8/layout/radial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46BF52-C53D-4E03-8B47-532242C91F07}">
      <dsp:nvSpPr>
        <dsp:cNvPr id="0" name=""/>
        <dsp:cNvSpPr/>
      </dsp:nvSpPr>
      <dsp:spPr>
        <a:xfrm>
          <a:off x="2301213" y="3045446"/>
          <a:ext cx="1893623" cy="189362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830" tIns="36830" rIns="36830" bIns="36830" numCol="1" spcCol="1270" anchor="ctr" anchorCtr="0">
          <a:noAutofit/>
        </a:bodyPr>
        <a:lstStyle/>
        <a:p>
          <a:pPr marL="0" lvl="0" indent="0" algn="ctr" defTabSz="1289050">
            <a:lnSpc>
              <a:spcPct val="90000"/>
            </a:lnSpc>
            <a:spcBef>
              <a:spcPct val="0"/>
            </a:spcBef>
            <a:spcAft>
              <a:spcPct val="35000"/>
            </a:spcAft>
            <a:buNone/>
          </a:pPr>
          <a:r>
            <a:rPr lang="en-AU" sz="2900" kern="1200"/>
            <a:t>Rating Strategy</a:t>
          </a:r>
        </a:p>
      </dsp:txBody>
      <dsp:txXfrm>
        <a:off x="2578528" y="3322761"/>
        <a:ext cx="1338993" cy="1338993"/>
      </dsp:txXfrm>
    </dsp:sp>
    <dsp:sp modelId="{8DAE7769-CE19-408E-8128-3EA5548E4BA4}">
      <dsp:nvSpPr>
        <dsp:cNvPr id="0" name=""/>
        <dsp:cNvSpPr/>
      </dsp:nvSpPr>
      <dsp:spPr>
        <a:xfrm rot="16200000">
          <a:off x="3046767" y="2355191"/>
          <a:ext cx="402514" cy="643832"/>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AU" sz="2400" kern="1200"/>
        </a:p>
      </dsp:txBody>
      <dsp:txXfrm>
        <a:off x="3107144" y="2544334"/>
        <a:ext cx="281760" cy="386300"/>
      </dsp:txXfrm>
    </dsp:sp>
    <dsp:sp modelId="{574D26E6-3D83-4DEA-BC49-817A50A17C36}">
      <dsp:nvSpPr>
        <dsp:cNvPr id="0" name=""/>
        <dsp:cNvSpPr/>
      </dsp:nvSpPr>
      <dsp:spPr>
        <a:xfrm>
          <a:off x="2301213" y="392361"/>
          <a:ext cx="1893623" cy="1893623"/>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en-AU" sz="2000" kern="1200"/>
            <a:t>Equitable</a:t>
          </a:r>
        </a:p>
        <a:p>
          <a:pPr marL="0" lvl="0" indent="0" algn="ctr" defTabSz="889000">
            <a:lnSpc>
              <a:spcPct val="90000"/>
            </a:lnSpc>
            <a:spcBef>
              <a:spcPct val="0"/>
            </a:spcBef>
            <a:spcAft>
              <a:spcPct val="35000"/>
            </a:spcAft>
            <a:buNone/>
          </a:pPr>
          <a:r>
            <a:rPr lang="en-AU" sz="1000" kern="1200"/>
            <a:t>Distribution of a fair and just rate system</a:t>
          </a:r>
        </a:p>
      </dsp:txBody>
      <dsp:txXfrm>
        <a:off x="2578528" y="669676"/>
        <a:ext cx="1338993" cy="1338993"/>
      </dsp:txXfrm>
    </dsp:sp>
    <dsp:sp modelId="{0E324C73-2180-4F85-9787-BEA5C0DC6083}">
      <dsp:nvSpPr>
        <dsp:cNvPr id="0" name=""/>
        <dsp:cNvSpPr/>
      </dsp:nvSpPr>
      <dsp:spPr>
        <a:xfrm rot="1800000">
          <a:off x="4185721" y="4327918"/>
          <a:ext cx="402514" cy="643832"/>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AU" sz="2400" kern="1200"/>
        </a:p>
      </dsp:txBody>
      <dsp:txXfrm>
        <a:off x="4193810" y="4426496"/>
        <a:ext cx="281760" cy="386300"/>
      </dsp:txXfrm>
    </dsp:sp>
    <dsp:sp modelId="{A948EC3B-0AC7-44E7-97D2-C709F8E1A022}">
      <dsp:nvSpPr>
        <dsp:cNvPr id="0" name=""/>
        <dsp:cNvSpPr/>
      </dsp:nvSpPr>
      <dsp:spPr>
        <a:xfrm>
          <a:off x="4598852" y="4371989"/>
          <a:ext cx="1893623" cy="1893623"/>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AU" sz="1800" kern="1200"/>
            <a:t>Transparent</a:t>
          </a:r>
        </a:p>
        <a:p>
          <a:pPr marL="0" lvl="0" indent="0" algn="ctr" defTabSz="800100">
            <a:lnSpc>
              <a:spcPct val="90000"/>
            </a:lnSpc>
            <a:spcBef>
              <a:spcPct val="0"/>
            </a:spcBef>
            <a:spcAft>
              <a:spcPct val="35000"/>
            </a:spcAft>
            <a:buNone/>
          </a:pPr>
          <a:r>
            <a:rPr lang="en-AU" sz="1000" kern="1200"/>
            <a:t>Maroondah City Council's Rating System and its rate collection processes will be easily understood by everyone</a:t>
          </a:r>
        </a:p>
      </dsp:txBody>
      <dsp:txXfrm>
        <a:off x="4876167" y="4649304"/>
        <a:ext cx="1338993" cy="1338993"/>
      </dsp:txXfrm>
    </dsp:sp>
    <dsp:sp modelId="{0EA23E42-6E1B-4744-998D-C2E958CFED7F}">
      <dsp:nvSpPr>
        <dsp:cNvPr id="0" name=""/>
        <dsp:cNvSpPr/>
      </dsp:nvSpPr>
      <dsp:spPr>
        <a:xfrm rot="9000000">
          <a:off x="1907813" y="4327918"/>
          <a:ext cx="402514" cy="643832"/>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AU" sz="2400" kern="1200"/>
        </a:p>
      </dsp:txBody>
      <dsp:txXfrm rot="10800000">
        <a:off x="2020478" y="4426496"/>
        <a:ext cx="281760" cy="386300"/>
      </dsp:txXfrm>
    </dsp:sp>
    <dsp:sp modelId="{BF6C7F18-A51D-4E79-AA2D-D4CC0D2D02B7}">
      <dsp:nvSpPr>
        <dsp:cNvPr id="0" name=""/>
        <dsp:cNvSpPr/>
      </dsp:nvSpPr>
      <dsp:spPr>
        <a:xfrm>
          <a:off x="3573" y="4371989"/>
          <a:ext cx="1893623" cy="1893623"/>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AU" sz="1800" kern="1200"/>
            <a:t>Sustainable</a:t>
          </a:r>
        </a:p>
        <a:p>
          <a:pPr marL="0" lvl="0" indent="0" algn="ctr" defTabSz="800100">
            <a:lnSpc>
              <a:spcPct val="90000"/>
            </a:lnSpc>
            <a:spcBef>
              <a:spcPct val="0"/>
            </a:spcBef>
            <a:spcAft>
              <a:spcPct val="35000"/>
            </a:spcAft>
            <a:buNone/>
          </a:pPr>
          <a:r>
            <a:rPr lang="en-AU" sz="1000" kern="1200"/>
            <a:t>Ensuring resources and rating practices are tenable and sustainable over time </a:t>
          </a:r>
        </a:p>
      </dsp:txBody>
      <dsp:txXfrm>
        <a:off x="280888" y="4649304"/>
        <a:ext cx="1338993" cy="133899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097F1-93BC-4A99-BECE-32A0DC3B5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A4FEF98F.dotm</Template>
  <TotalTime>0</TotalTime>
  <Pages>28</Pages>
  <Words>11796</Words>
  <Characters>67240</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78879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pmedley</dc:creator>
  <cp:lastModifiedBy>Marlee Amiguet</cp:lastModifiedBy>
  <cp:revision>2</cp:revision>
  <cp:lastPrinted>2017-11-21T02:12:00Z</cp:lastPrinted>
  <dcterms:created xsi:type="dcterms:W3CDTF">2018-10-12T03:27:00Z</dcterms:created>
  <dcterms:modified xsi:type="dcterms:W3CDTF">2018-10-12T03:27:00Z</dcterms:modified>
</cp:coreProperties>
</file>